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4835"/>
        <w:gridCol w:w="2757"/>
        <w:gridCol w:w="2010"/>
        <w:gridCol w:w="3233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Característica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Categoría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sin ponderar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Prevalencia (IC 95 %)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Total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30 825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14,2 % (13,5 % a 14,9 %)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Grupo de edad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 a 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9 453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3,9 % (3,3 % a 4,6 %)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30 a 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11 261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9,5 % (8,6 % a 10,4 %)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45 a 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5 400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20,9 % (19,0 % a 22,9 %)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60 a más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4 711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29,8 % (27,6 % a 32,1 %)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Sexo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Hombre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13 026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18,3 % (17,2 % a 19,5 %)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Mujer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17 799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10,2 % (9,5 % a 11,1 %)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Área de residencia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Urbana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19 511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14,8 % (14,0 % a 15,7 %)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Rural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11 314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11,2 % (10,4 % a 12,0 %)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Región natural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Lima Metropolitana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3 371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16,5 % (14,9 % a 18,2 %)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Resto de la Costa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8 628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14,8 % (13,7 % a 16,0 %)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Sierra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11 175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12,1 % (11,2 % a 13,1 %)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Selva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7 651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9,8 % (9,0 % a 10,7 %)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Nivel educativo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Sin nivel o inicial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1 166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23,4 % (19,8 % a 27,5 %)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Primaria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6 568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19,3 % (17,7 % a 21,0 %)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Secundaria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14 037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12,0 % (11,0 % a 13,0 %)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Superior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9 054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13,7 % (12,4 % a 15,0 %)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Índice de riqueza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Quintil 1 (más pobre)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10 494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10,9 % (10,0 % a 11,8 %)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Quintil 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7 665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11,8 % (10,7 % a 13,1 %)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Quintil 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5 607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14,0 % (12,6 % a 15,5 %)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Quintil 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4 226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16,3 % (14,6 % a 18,1 %)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Quintil 5 (más rico)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2 833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17,6 % (15,5 % a 19,9 %)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Fuma actualmente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27 966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13,9 % (13,2 % a 14,7 %)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Sí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2 858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16,5 % (14,5 % a 18,8 %)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Consumió alcohol en los últimos 30 días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20 622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14,0 % (13,2 % a 15,0 %)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Sí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10 189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14,4 % (13,2 % a 15,6 %)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Diabetes diagnosticada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29 700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13,4 % (12,8 % a 14,1 %)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Sí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1 099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27,0 % (22,6 % a 31,9 %)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2026-10-13T21:56:38Z</dcterms:modified>
  <cp:category/>
</cp:coreProperties>
</file>