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35"/>
        <w:gridCol w:w="2757"/>
        <w:gridCol w:w="2010"/>
        <w:gridCol w:w="3233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Característica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Categoría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sin ponderar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Prevalencia (IC 95 %)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30 825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14,2 % (13,5 % a 14,9 %)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Grupo de edad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a 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9 453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3,9 % (3,3 % a 4,6 %)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a 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11 261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9,5 % (8,6 % a 10,4 %)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a 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5 400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20,9 % (19,0 % a 22,9 %)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a más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4 711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29,8 % (27,6 % a 32,1 %)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Hombre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13 026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18,3 % (17,2 % a 19,5 %)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Mujer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17 799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10,2 % (9,5 % a 11,1 %)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Área de residencia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19 511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14,8 % (14,0 % a 15,7 %)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11 314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11,2 % (10,4 % a 12,0 %)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Región natural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Lima Metropolitana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3 371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16,5 % (14,9 % a 18,2 %)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Resto de la Costa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8 628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14,8 % (13,7 % a 16,0 %)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Sierra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11 175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12,1 % (11,2 % a 13,1 %)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7 651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9,8 % (9,0 % a 10,7 %)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 educativo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nivel o inicial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23,4 % (19,8 % a 27,5 %)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6 568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19,3 % (17,7 % a 21,0 %)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Secundaria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14 037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12,0 % (11,0 % a 13,0 %)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Superior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9 054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13,7 % (12,4 % a 15,0 %)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Índice de riqueza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 1 (más pobre)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10 494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10,9 % (10,0 % a 11,8 %)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7 665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11,8 % (10,7 % a 13,1 %)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5 607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14,0 % (12,6 % a 15,5 %)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4 226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16,3 % (14,6 % a 18,1 %)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 5 (más rico)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2 833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17,6 % (15,5 % a 19,9 %)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Fuma actualmente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27 966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13,9 % (13,2 % a 14,7 %)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2 858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16,5 % (14,5 % a 18,8 %)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Consumió alcohol en los últimos 30 días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20 622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14,0 % (13,2 % a 15,0 %)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10 189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14,4 % (13,2 % a 15,6 %)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 diagnosticada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29 700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13,4 % (12,8 % a 14,1 %)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1 099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27,0 % (22,6 % a 31,9 %)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2026-10-15T11:57:50Z</dcterms:modified>
  <cp:category/>
</cp:coreProperties>
</file>