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1A2447"/>
          <w:sz w:val="28"/>
          <w:szCs w:val="28"/>
        </w:rPr>
        <w:t xml:space="preserve">远景资产管理有限公司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基金签约包文件清单</w:t>
      </w:r>
    </w:p>
    <w:p>
      <w:pPr>
        <w:spacing w:after="4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文件编号：YJ-PACK-2024-0318    版本号：v2.1    日期：2024年3月18日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一、项目主数据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基金名称（中文）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远景成长混合型证券投资基金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基金名称（英文）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Yuanjing Growth Mixed Securities 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管理人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远景资产管理有限公司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版本号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项目编号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YJ-2024-0318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基金经理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陈建华  Chen Jianhua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⚠️ 以上主数据为最终确认版本，所有签约文件均应与此一致。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二、文件清单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以下文件须在签约包完成前全部完成审核并存档：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1500"/>
        <w:gridCol w:w="1726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文件名称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文件类型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17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远景成长混合型基金 签约包文件清单（v2.1）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1号文件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待审核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主文件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远景资产管理有限公司 基金服务指南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2号文件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已审核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配套说明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签收函（远景财富管理（香港）有限公司）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3号文件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待审核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客户签署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远景成长混合型证券基金 产品说明书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产品文件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已审核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披露文件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远景成长混合型证券投资基金 风险揭示书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风险文件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已审核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必签文件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授权委托书（有效期至：2023年12月31日）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授权文件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待审核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注意有效期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远景资产管理有限公司 KYC表格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合规文件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合规必备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注：黄色高亮行为待确认文件，请审核人员重点核查。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三、审核核查要点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本批次文件须重点核查以下事项：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基金全称须与主数据一致（“远景成长混合型证券投资基金”）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管理人名称须统一为“远景资产管理有限公司”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版本号须统一为 v2.3（当前版本）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所有日期授权材料须确认在有效期内（2024年3月18日后仍有效）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双语文件须确认中英文信息一致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四、审核签署记录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签署意见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法务审核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合规审核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风控审核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负责人审批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EEEEEE" w:sz="4" w:space="1"/>
        </w:pBdr>
        <w:spacing w:after="80" w:before="24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本文件为演示用途，预置了若干错误供AI核查培训使用。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远景资产管理有限公司  |  机密文件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1A2447"/>
        <w:sz w:val="20"/>
        <w:szCs w:val="20"/>
      </w:rPr>
      <w:t xml:space="preserve">【演示文件】基金签约包文件清单</w:t>
    </w:r>
    <w:r>
      <w:rPr>
        <w:rFonts w:ascii="Arial" w:cs="Arial" w:eastAsia="Arial" w:hAnsi="Arial"/>
        <w:color w:val="999999"/>
        <w:sz w:val="18"/>
        <w:szCs w:val="18"/>
      </w:rPr>
      <w:t xml:space="preserve">          内部文件 · 仅供培训使用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24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2026-03-15T17:18:11.176Z</dcterms:created>
  <dcterms:modified xsi:type="dcterms:W3CDTF">2026-03-15T17:18:11.176Z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