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2D1083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理发机构预约小程序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133667" w:rsidRDefault="006712A1" w:rsidP="00D71D72">
      <w:pPr>
        <w:rPr>
          <w:rFonts w:ascii="微软雅黑" w:eastAsia="微软雅黑" w:hAnsi="微软雅黑" w:cs="阿里巴巴普惠体" w:hint="eastAsia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AE61CA">
        <w:rPr>
          <w:rFonts w:ascii="微软雅黑" w:eastAsia="微软雅黑" w:hAnsi="微软雅黑" w:cs="阿里巴巴普惠体" w:hint="eastAsia"/>
        </w:rPr>
        <w:t>小店动态，美发常识，理发师预约</w:t>
      </w:r>
      <w:r w:rsidR="00B17A06">
        <w:rPr>
          <w:rFonts w:ascii="微软雅黑" w:eastAsia="微软雅黑" w:hAnsi="微软雅黑" w:cs="阿里巴巴普惠体" w:hint="eastAsia"/>
        </w:rPr>
        <w:t>，美发</w:t>
      </w:r>
      <w:r w:rsidR="00AE61CA">
        <w:rPr>
          <w:rFonts w:ascii="微软雅黑" w:eastAsia="微软雅黑" w:hAnsi="微软雅黑" w:cs="阿里巴巴普惠体" w:hint="eastAsia"/>
        </w:rPr>
        <w:t>项目预约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D71D72" w:rsidRPr="00D71D72">
        <w:rPr>
          <w:rFonts w:ascii="微软雅黑" w:eastAsia="微软雅黑" w:hAnsi="微软雅黑" w:cs="阿里巴巴普惠体" w:hint="eastAsia"/>
        </w:rPr>
        <w:t>要时尚，从头开始</w:t>
      </w:r>
      <w:r w:rsidR="00D71D72">
        <w:rPr>
          <w:rFonts w:ascii="微软雅黑" w:eastAsia="微软雅黑" w:hAnsi="微软雅黑" w:cs="阿里巴巴普惠体" w:hint="eastAsia"/>
        </w:rPr>
        <w:t>，</w:t>
      </w:r>
      <w:r w:rsidR="00D71D72" w:rsidRPr="00D71D72">
        <w:rPr>
          <w:rFonts w:ascii="微软雅黑" w:eastAsia="微软雅黑" w:hAnsi="微软雅黑" w:cs="阿里巴巴普惠体" w:hint="eastAsia"/>
        </w:rPr>
        <w:t>以黑色和黄色为主色调，黑色炫酷时尚+黄色会员色</w:t>
      </w:r>
      <w:r w:rsidR="00733965">
        <w:rPr>
          <w:rFonts w:ascii="微软雅黑" w:eastAsia="微软雅黑" w:hAnsi="微软雅黑" w:cs="阿里巴巴普惠体" w:hint="eastAsia"/>
        </w:rPr>
        <w:t>，快速预约可以按自己安排的时段，如1</w:t>
      </w:r>
      <w:r w:rsidR="00733965">
        <w:rPr>
          <w:rFonts w:ascii="微软雅黑" w:eastAsia="微软雅黑" w:hAnsi="微软雅黑" w:cs="阿里巴巴普惠体"/>
        </w:rPr>
        <w:t>0:00</w:t>
      </w:r>
      <w:r w:rsidR="00733965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834C62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834C62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834C62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834C62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834C62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834C62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292245" cy="2196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13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245" cy="21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D1083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33965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34C62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E61CA"/>
    <w:rsid w:val="00AF3BB3"/>
    <w:rsid w:val="00AF65A9"/>
    <w:rsid w:val="00AF707F"/>
    <w:rsid w:val="00AF719C"/>
    <w:rsid w:val="00B17A06"/>
    <w:rsid w:val="00B237B5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71D72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62DCA16-6EF0-43F4-82AB-AA2F5977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305</Words>
  <Characters>1741</Characters>
  <Application>Microsoft Office Word</Application>
  <DocSecurity>0</DocSecurity>
  <Lines>14</Lines>
  <Paragraphs>4</Paragraphs>
  <ScaleCrop>false</ScaleCrop>
  <Company>Microsoft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205</cp:revision>
  <dcterms:created xsi:type="dcterms:W3CDTF">2022-02-19T02:59:00Z</dcterms:created>
  <dcterms:modified xsi:type="dcterms:W3CDTF">2022-02-27T11:11:00Z</dcterms:modified>
</cp:coreProperties>
</file>