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color w:val="0B2545"/>
          <w:sz w:val="40"/>
        </w:rPr>
        <w:t>TailFin Marine · 全系列 MRD / PRD / GTM</w:t>
      </w:r>
    </w:p>
    <w:p>
      <w:r>
        <w:rPr>
          <w:rFonts w:ascii="Microsoft YaHei" w:hAnsi="Microsoft YaHei" w:eastAsia="Microsoft YaHei"/>
          <w:color w:val="1F2933"/>
          <w:sz w:val="21"/>
        </w:rPr>
        <w:t xml:space="preserve">含皮卡（陆地）· 钓鱼船（Vessel）· 游艇（Yacht）三场景的产品需求、研发定义与上市策略  </w:t>
      </w:r>
      <w:r>
        <w:rPr>
          <w:rFonts w:ascii="Microsoft YaHei" w:hAnsi="Microsoft YaHei" w:eastAsia="Microsoft YaHei"/>
          <w:color w:val="1F2933"/>
          <w:sz w:val="21"/>
        </w:rPr>
        <w:t>Full-Line Market / Product / Go-To-Market Requirements</w:t>
      </w:r>
    </w:p>
    <w:p>
      <w:r>
        <w:rPr>
          <w:rFonts w:ascii="Microsoft YaHei" w:hAnsi="Microsoft YaHei" w:eastAsia="Microsoft YaHei"/>
          <w:color w:val="1F2933"/>
          <w:sz w:val="21"/>
        </w:rPr>
        <w:t>文档性质：内部战略与执行文档（含供应链/工程内部术语）。BOM、成本、毛利、复用率均为基于现有 catalog 与产品架构的估算，最终以正式 BOM 报价单、认证机构文件与经销合同为准。本档整合并取代单独的《钓鱼船版方案》BOM 部分，并作为《商业计划书》《毛利分析》的权威更新来源。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Part 1 · MRD 市场需求文档Market Requirements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1.1 市场背景与趋势</w:t>
      </w:r>
    </w:p>
    <w:p>
      <w:r>
        <w:rPr>
          <w:rFonts w:ascii="Microsoft YaHei" w:hAnsi="Microsoft YaHei" w:eastAsia="Microsoft YaHei"/>
          <w:color w:val="1F2933"/>
          <w:sz w:val="21"/>
        </w:rPr>
        <w:t>全球休闲垂钓持续结构性增长：装备向</w:t>
      </w:r>
      <w:r>
        <w:rPr>
          <w:rFonts w:ascii="Microsoft YaHei" w:hAnsi="Microsoft YaHei" w:eastAsia="Microsoft YaHei"/>
          <w:b/>
          <w:color w:val="1F2933"/>
          <w:sz w:val="21"/>
        </w:rPr>
        <w:t>轻量化、便携化、模块化</w:t>
      </w:r>
      <w:r>
        <w:rPr>
          <w:rFonts w:ascii="Microsoft YaHei" w:hAnsi="Microsoft YaHei" w:eastAsia="Microsoft YaHei"/>
          <w:color w:val="1F2933"/>
          <w:sz w:val="21"/>
        </w:rPr>
        <w:t>演进；</w:t>
      </w:r>
      <w:r>
        <w:rPr>
          <w:rFonts w:ascii="Microsoft YaHei" w:hAnsi="Microsoft YaHei" w:eastAsia="Microsoft YaHei"/>
          <w:b/>
          <w:color w:val="1F2933"/>
          <w:sz w:val="21"/>
        </w:rPr>
        <w:t>智能与电动化</w:t>
      </w:r>
      <w:r>
        <w:rPr>
          <w:rFonts w:ascii="Microsoft YaHei" w:hAnsi="Microsoft YaHei" w:eastAsia="Microsoft YaHei"/>
          <w:color w:val="1F2933"/>
          <w:sz w:val="21"/>
        </w:rPr>
        <w:t>渗透率提升；</w:t>
      </w:r>
      <w:r>
        <w:rPr>
          <w:rFonts w:ascii="Microsoft YaHei" w:hAnsi="Microsoft YaHei" w:eastAsia="Microsoft YaHei"/>
          <w:b/>
          <w:color w:val="1F2933"/>
          <w:sz w:val="21"/>
        </w:rPr>
        <w:t>环保可持续</w:t>
      </w:r>
      <w:r>
        <w:rPr>
          <w:rFonts w:ascii="Microsoft YaHei" w:hAnsi="Microsoft YaHei" w:eastAsia="Microsoft YaHei"/>
          <w:color w:val="1F2933"/>
          <w:sz w:val="21"/>
        </w:rPr>
        <w:t>（可降解、防穿刺、锁鲜）成为购买要素；「钓鱼 + 露营 + 文旅」融合催生「钓后处理（Clean &amp; Cook）」新消费场景。现有市场以</w:t>
      </w:r>
      <w:r>
        <w:rPr>
          <w:rFonts w:ascii="Microsoft YaHei" w:hAnsi="Microsoft YaHei" w:eastAsia="Microsoft YaHei"/>
          <w:b/>
          <w:color w:val="1F2933"/>
          <w:sz w:val="21"/>
        </w:rPr>
        <w:t>被动式折叠去鳞台</w:t>
      </w:r>
      <w:r>
        <w:rPr>
          <w:rFonts w:ascii="Microsoft YaHei" w:hAnsi="Microsoft YaHei" w:eastAsia="Microsoft YaHei"/>
          <w:color w:val="1F2933"/>
          <w:sz w:val="21"/>
        </w:rPr>
        <w:t>（HDPE 台面）为主，动力去鳞、真空锁鲜与离网供电长期割裂——TailFin 首创「动力模块化钓后处理系统」占据品类空白。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1.2 三场景需求定义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1.3 用户画像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核心用户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购买动机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价格敏感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关键 KPI 人群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皮卡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周末钓客、路亚玩家、露营钓旅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效率、不脏车、便携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中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大众（走量基础）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钓鱼船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Charter 船长（滩头 KOL）</w:t>
              <w:br/>
              <w:t>、休闲渔船东、海钓俱乐部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ROI（多跑趟/鱼更鲜/客更满意）、耐用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低–中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重度用户 + 内容节点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游艇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游艇东、高端生活方式人群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体验、社交、甲板上的米其林感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低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高客单溢价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B998B"/>
          <w:sz w:val="27"/>
        </w:rPr>
        <w:t>1.4 竞争格局（全场景统一对标）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TailFin 系统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Goplus 折叠台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MAGMA 砧板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RAILBLAZA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产品形态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动力模块化钓后处理系统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折叠水槽台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HDPE 砧板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船用剖鱼砧板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动力去鳞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✓ 12/24V 电动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真空锁鲜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✓ ≥-75kPa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离网供电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✓ 电池 + 双充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上船适配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✓ 船规/Vessel/游艇三版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 仅陆地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△ 被动台面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△ 仅砧板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B998B"/>
          <w:sz w:val="27"/>
        </w:rPr>
        <w:t>1.5 市场机会（规模支撑）</w:t>
      </w:r>
    </w:p>
    <w:p>
      <w:pPr>
        <w:pStyle w:val="ListBullet"/>
      </w:pPr>
      <w:r>
        <w:rPr>
          <w:rFonts w:ascii="Microsoft YaHei" w:hAnsi="Microsoft YaHei" w:eastAsia="Microsoft YaHei"/>
          <w:color w:val="1F2933"/>
          <w:sz w:val="21"/>
        </w:rPr>
        <w:t xml:space="preserve">全球休闲垂钓装备 2025 约 </w:t>
      </w:r>
      <w:r>
        <w:rPr>
          <w:rFonts w:ascii="Microsoft YaHei" w:hAnsi="Microsoft YaHei" w:eastAsia="Microsoft YaHei"/>
          <w:b/>
          <w:color w:val="1F2933"/>
          <w:sz w:val="21"/>
        </w:rPr>
        <w:t>$14.8B → 2034 $24.4B</w:t>
      </w:r>
      <w:r>
        <w:rPr>
          <w:rFonts w:ascii="Microsoft YaHei" w:hAnsi="Microsoft YaHei" w:eastAsia="Microsoft YaHei"/>
          <w:color w:val="1F2933"/>
          <w:sz w:val="21"/>
        </w:rPr>
        <w:t>（CAGR 5.7%，Dimension）；广义渔具 2025 $16.5B → 2032 $22.08B（CAGR 4.25%）。</w:t>
      </w:r>
    </w:p>
    <w:p>
      <w:pPr>
        <w:pStyle w:val="ListBullet"/>
      </w:pPr>
      <w:r>
        <w:rPr>
          <w:rFonts w:ascii="Microsoft YaHei" w:hAnsi="Microsoft YaHei" w:eastAsia="Microsoft YaHei"/>
          <w:color w:val="1F2933"/>
          <w:sz w:val="21"/>
        </w:rPr>
        <w:t xml:space="preserve">美国 2024 年 </w:t>
      </w:r>
      <w:r>
        <w:rPr>
          <w:rFonts w:ascii="Microsoft YaHei" w:hAnsi="Microsoft YaHei" w:eastAsia="Microsoft YaHei"/>
          <w:b/>
          <w:color w:val="1F2933"/>
          <w:sz w:val="21"/>
        </w:rPr>
        <w:t>5,790 万</w:t>
      </w:r>
      <w:r>
        <w:rPr>
          <w:rFonts w:ascii="Microsoft YaHei" w:hAnsi="Microsoft YaHei" w:eastAsia="Microsoft YaHei"/>
          <w:color w:val="1F2933"/>
          <w:sz w:val="21"/>
        </w:rPr>
        <w:t>钓鱼人口（创纪录，RBFF）；欧洲 870 万海钓者、年支出 €59 亿；西澳 75 万钓客、</w:t>
      </w:r>
      <w:r>
        <w:rPr>
          <w:rFonts w:ascii="Microsoft YaHei" w:hAnsi="Microsoft YaHei" w:eastAsia="Microsoft YaHei"/>
          <w:b/>
          <w:color w:val="1F2933"/>
          <w:sz w:val="21"/>
        </w:rPr>
        <w:t>$24 亿澳元</w:t>
      </w:r>
      <w:r>
        <w:rPr>
          <w:rFonts w:ascii="Microsoft YaHei" w:hAnsi="Microsoft YaHei" w:eastAsia="Microsoft YaHei"/>
          <w:color w:val="1F2933"/>
          <w:sz w:val="21"/>
        </w:rPr>
        <w:t>经济；中国 1.4 亿钓友、轻量化装备 CAGR 17.3%。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三场景 TAM/SAM/SOM（估算）</w:t>
      </w:r>
      <w:r>
        <w:rPr>
          <w:rFonts w:ascii="Microsoft YaHei" w:hAnsi="Microsoft YaHei" w:eastAsia="Microsoft YaHei"/>
          <w:color w:val="1F2933"/>
          <w:sz w:val="21"/>
        </w:rPr>
        <w:t>：TAM=全球钓具 $24.4B；SAM=便携钓后处理设备（陆地+船+游艇）≈ $3–4B；SOM（3 年目标）≈ $80–120M（以分级渠道渗透计）。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Part 2 · PRD 产品需求文档Product Requirements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2.1 全系产品矩阵总览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SKU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定位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建议 MSRP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平台底座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皮卡 / 陆地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Mini 口袋去鳞机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入门 LITE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$149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—（独立便携）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Standard 尾门工作站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基础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$499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陆地基准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Pro 移动鱼类工厂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旗舰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$999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陆地基准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Pro 升级套装 Kit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升级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$499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Standard→Pro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钓鱼船 / Vessel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Vessel Core 船规基础版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船用基础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$599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Standard + 船规层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Vessel Pro 船规旗舰版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船用旗舰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$1,149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Pro + 船规层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Vessel Kit 船用升级套件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上船套件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$149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给存量用户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游艇 / Yacht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Yacht Core 游艇版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奢华基础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$1,899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Vessel Core + 奢华层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Yacht Pro 游艇旗舰版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奢华旗舰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$2,899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Vessel Pro + 奢华层</w:t>
            </w:r>
          </w:p>
        </w:tc>
        <w:tc>
          <w:tcPr>
            <w:tcW w:type="dxa" w:w="1728"/>
          </w:tcPr>
          <w:p/>
        </w:tc>
      </w:tr>
    </w:tbl>
    <w:p/>
    <w:p>
      <w:r>
        <w:rPr>
          <w:rFonts w:ascii="Microsoft YaHei" w:hAnsi="Microsoft YaHei" w:eastAsia="Microsoft YaHei"/>
          <w:b/>
          <w:color w:val="1B998B"/>
          <w:sz w:val="27"/>
        </w:rPr>
        <w:t>2.2 平台化架构（跨场景复用内核）</w:t>
      </w:r>
    </w:p>
    <w:p>
      <w:r>
        <w:rPr>
          <w:rFonts w:ascii="Microsoft YaHei" w:hAnsi="Microsoft YaHei" w:eastAsia="Microsoft YaHei"/>
          <w:color w:val="1F2933"/>
          <w:sz w:val="21"/>
        </w:rPr>
        <w:t xml:space="preserve">统一基础平台 = </w:t>
      </w:r>
      <w:r>
        <w:rPr>
          <w:rFonts w:ascii="Microsoft YaHei" w:hAnsi="Microsoft YaHei" w:eastAsia="Microsoft YaHei"/>
          <w:b/>
          <w:color w:val="1F2933"/>
          <w:sz w:val="21"/>
        </w:rPr>
        <w:t>中央仓双槽叠层（Pogo Pin 盲插）</w:t>
      </w:r>
      <w:r>
        <w:rPr>
          <w:rFonts w:ascii="Microsoft YaHei" w:hAnsi="Microsoft YaHei" w:eastAsia="Microsoft YaHei"/>
          <w:color w:val="1F2933"/>
          <w:sz w:val="21"/>
        </w:rPr>
        <w:t xml:space="preserve"> + 五大即插即用模块：</w:t>
      </w:r>
      <w:r>
        <w:rPr>
          <w:rFonts w:ascii="Microsoft YaHei" w:hAnsi="Microsoft YaHei" w:eastAsia="Microsoft YaHei"/>
          <w:b/>
          <w:color w:val="1F2933"/>
          <w:sz w:val="21"/>
        </w:rPr>
        <w:t>动力去鳞机</w:t>
      </w:r>
      <w:r>
        <w:rPr>
          <w:rFonts w:ascii="Microsoft YaHei" w:hAnsi="Microsoft YaHei" w:eastAsia="Microsoft YaHei"/>
          <w:color w:val="1F2933"/>
          <w:sz w:val="21"/>
        </w:rPr>
        <w:t>（12V 有刷 / 24V 无刷，316 不锈钢刀头）、</w:t>
      </w:r>
      <w:r>
        <w:rPr>
          <w:rFonts w:ascii="Microsoft YaHei" w:hAnsi="Microsoft YaHei" w:eastAsia="Microsoft YaHei"/>
          <w:b/>
          <w:color w:val="1F2933"/>
          <w:sz w:val="21"/>
        </w:rPr>
        <w:t>电动鱼刀</w:t>
      </w:r>
      <w:r>
        <w:rPr>
          <w:rFonts w:ascii="Microsoft YaHei" w:hAnsi="Microsoft YaHei" w:eastAsia="Microsoft YaHei"/>
          <w:color w:val="1F2933"/>
          <w:sz w:val="21"/>
        </w:rPr>
        <w:t>（12V 往复，防水航空插口）、</w:t>
      </w:r>
      <w:r>
        <w:rPr>
          <w:rFonts w:ascii="Microsoft YaHei" w:hAnsi="Microsoft YaHei" w:eastAsia="Microsoft YaHei"/>
          <w:b/>
          <w:color w:val="1F2933"/>
          <w:sz w:val="21"/>
        </w:rPr>
        <w:t>真空密封 cartridge</w:t>
      </w:r>
      <w:r>
        <w:rPr>
          <w:rFonts w:ascii="Microsoft YaHei" w:hAnsi="Microsoft YaHei" w:eastAsia="Microsoft YaHei"/>
          <w:color w:val="1F2933"/>
          <w:sz w:val="21"/>
        </w:rPr>
        <w:t>（干湿两用 ≥-75kPa）、</w:t>
      </w:r>
      <w:r>
        <w:rPr>
          <w:rFonts w:ascii="Microsoft YaHei" w:hAnsi="Microsoft YaHei" w:eastAsia="Microsoft YaHei"/>
          <w:b/>
          <w:color w:val="1F2933"/>
          <w:sz w:val="21"/>
        </w:rPr>
        <w:t>24V 电池包</w:t>
      </w:r>
      <w:r>
        <w:rPr>
          <w:rFonts w:ascii="Microsoft YaHei" w:hAnsi="Microsoft YaHei" w:eastAsia="Microsoft YaHei"/>
          <w:color w:val="1F2933"/>
          <w:sz w:val="21"/>
        </w:rPr>
        <w:t>（离网 ≥2h，BMS 双充）、</w:t>
      </w:r>
      <w:r>
        <w:rPr>
          <w:rFonts w:ascii="Microsoft YaHei" w:hAnsi="Microsoft YaHei" w:eastAsia="Microsoft YaHei"/>
          <w:b/>
          <w:color w:val="1F2933"/>
          <w:sz w:val="21"/>
        </w:rPr>
        <w:t>HDPE 食品级砧板</w:t>
      </w:r>
      <w:r>
        <w:rPr>
          <w:rFonts w:ascii="Microsoft YaHei" w:hAnsi="Microsoft YaHei" w:eastAsia="Microsoft YaHei"/>
          <w:color w:val="1F2933"/>
          <w:sz w:val="21"/>
        </w:rPr>
        <w:t>。三场景共用此内核，差异仅在「环境适配层」。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2.3 三场景 PRD 与 BOM 改动</w:t>
      </w:r>
    </w:p>
    <w:p>
      <w:r>
        <w:rPr>
          <w:rFonts w:ascii="Microsoft YaHei" w:hAnsi="Microsoft YaHei" w:eastAsia="Microsoft YaHei"/>
          <w:b/>
          <w:color w:val="1B998B"/>
          <w:sz w:val="24"/>
        </w:rPr>
        <w:t>2.3.1 皮卡 / 陆地版（已交付，基准 BOM）</w:t>
      </w:r>
    </w:p>
    <w:p>
      <w:pPr>
        <w:pStyle w:val="ListBullet"/>
      </w:pPr>
      <w:r>
        <w:rPr>
          <w:rFonts w:ascii="Microsoft YaHei" w:hAnsi="Microsoft YaHei" w:eastAsia="Microsoft YaHei"/>
          <w:color w:val="1F2933"/>
          <w:sz w:val="21"/>
        </w:rPr>
        <w:t>箱体 ABS+PC 80×44×26cm；12V 100W 有刷去鳞机（Standard）/ 24V 200W 无刷（Pro）；循环给水 5L/min；接点烟器 12V 或 24V 电池；316 刀头、HDPE 砧板。</w:t>
      </w:r>
    </w:p>
    <w:p>
      <w:pPr>
        <w:pStyle w:val="ListBullet"/>
      </w:pPr>
      <w:r>
        <w:rPr>
          <w:rFonts w:ascii="Microsoft YaHei" w:hAnsi="Microsoft YaHei" w:eastAsia="Microsoft YaHei"/>
          <w:color w:val="1F2933"/>
          <w:sz w:val="21"/>
        </w:rPr>
        <w:t>认证：消费电子级（FCC/CE 适用项），无船规要求。</w:t>
      </w:r>
    </w:p>
    <w:p>
      <w:r>
        <w:rPr>
          <w:rFonts w:ascii="Microsoft YaHei" w:hAnsi="Microsoft YaHei" w:eastAsia="Microsoft YaHei"/>
          <w:b/>
          <w:color w:val="1B998B"/>
          <w:sz w:val="24"/>
        </w:rPr>
        <w:t>2.3.2 钓鱼船 / Vessel 版（下一刀，P0 优先）</w:t>
      </w:r>
    </w:p>
    <w:p>
      <w:r>
        <w:rPr>
          <w:rFonts w:ascii="Microsoft YaHei" w:hAnsi="Microsoft YaHei" w:eastAsia="Microsoft YaHei"/>
          <w:b/>
          <w:color w:val="1B998B"/>
          <w:sz w:val="24"/>
        </w:rPr>
        <w:t>2.3.3 游艇 / Yacht 版（高端衍生，建在 Vessel 之上）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2.4 BOM 总表（三场景复用矩阵）★ 已更新</w:t>
      </w:r>
    </w:p>
    <w:p>
      <w:r>
        <w:rPr>
          <w:rFonts w:ascii="Microsoft YaHei" w:hAnsi="Microsoft YaHei" w:eastAsia="Microsoft YaHei"/>
          <w:b/>
          <w:color w:val="1B998B"/>
          <w:sz w:val="24"/>
        </w:rPr>
        <w:t>2.4.1 100% 复用件（全场景通用，直接沿用）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现有件（catalog id）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船版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游艇版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动力去鳞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12V/24V 去鳞机（descaler_std/pro）+ 316 刀头（scaler_blade）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100%（静音版可选）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剖切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电动鱼刀（electric_knife）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真空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真空 cartridge（vacuum_cartridge）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供电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24V 电池包（battery_pack）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给水/砧板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PU 管（hose_replacement）/ HDPE 板（hdpe_board）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中控/工具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中央仓 + 鱼剪刀/牛津包/水袋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B998B"/>
          <w:sz w:val="24"/>
        </w:rPr>
        <w:t>2.4.2 材料替换件（升级，非重开模）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现有件</w:t>
            </w:r>
          </w:p>
        </w:tc>
        <w:tc>
          <w:tcPr>
            <w:tcW w:type="dxa" w:w="288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钓鱼船替换</w:t>
            </w:r>
          </w:p>
        </w:tc>
        <w:tc>
          <w:tcPr>
            <w:tcW w:type="dxa" w:w="288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游艇替换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箱体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ABS+PC → ASA + 316 骨架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→ 柚木纹/拉丝钢奢华外壳（新开模）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紧固/密封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316 紧固 + 氟橡胶圈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316 紧固 + 船规硅胶（同船版）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插口/涂层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IP67 接头 + 抗 UV 盐雾涂层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IP67 接头 + 奢华表面处理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电机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沿用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静音电机版本 + 橡胶减震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B998B"/>
          <w:sz w:val="24"/>
        </w:rPr>
        <w:t>2.4.3 新增件（当前无，按场景）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新增件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钓鱼船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游艇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增量成本(估)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导轨/夹具快装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P0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（复用船版）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集水槽+舷外排水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（复用船版）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+$15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防反接/低压保护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P0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（复用船版）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IP67 接线盒+DC线束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（复用船版）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+$14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抗摇摆锁扣/接地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P1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（复用船版）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110/220V AC 电源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+$55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奢华外壳/隐藏走线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P1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+$220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静音电机+减震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+$70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折叠收纳/氛围灯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✗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P2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+$45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B998B"/>
          <w:sz w:val="24"/>
        </w:rPr>
        <w:t>2.4.4 复用率与增量成本汇总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相对陆地 BOM 复用率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单台增量成本(估)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主要新增投入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皮卡（基准）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100%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—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钓鱼船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≈80%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+$115/台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材料升级 + 上船附件（支架/排水/保护/接线）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游艇（对陆地）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≈55%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+$490/台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AC 电源 + 奢华外壳重开模 + 静音电机 + 隐藏走线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游艇（对船版）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≈70%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+$375/台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在船版之上加奢华层（复用船规电气）</w:t>
            </w:r>
          </w:p>
        </w:tc>
      </w:tr>
    </w:tbl>
    <w:p/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Part 3 · GTM 上市策略Go-To-Market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3.1 分阶段路线图（纵向铺场景，横向铺渠道）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3.2 渠道策略（分场景侧重）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288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主渠道</w:t>
            </w:r>
          </w:p>
        </w:tc>
        <w:tc>
          <w:tcPr>
            <w:tcW w:type="dxa" w:w="288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打法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皮卡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露营/钓具连锁、Amazon、户外电商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大众内容 + 性价比走量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钓鱼船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海事分销商、船具店、船厂 OEM、船长 KOL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滩头船长种子包换内容与口碑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游艇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游艇会、高端海事零售、定制船厂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奢华体验 + 私域/会员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B998B"/>
          <w:sz w:val="27"/>
        </w:rPr>
        <w:t>3.3 定价策略（三场景 × 三级渠道）</w:t>
      </w:r>
    </w:p>
    <w:p>
      <w:r>
        <w:rPr>
          <w:rFonts w:ascii="Microsoft YaHei" w:hAnsi="Microsoft YaHei" w:eastAsia="Microsoft YaHei"/>
          <w:color w:val="1F2933"/>
          <w:sz w:val="21"/>
        </w:rPr>
        <w:t>沿用三级分销：授权零售 70% / 区域经销商 60% / 国家分销 50% MSRP；含 MAP 价格保护、区域独家、阶梯返点 3–8%、认证售后支持。三场景 MSRP 见 §2.1 矩阵；船版/游艇版溢价由「船规电气 + 合规认证 + 奢华外观」支撑，毛利结构见 Part 4。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3.4 内容与品牌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Charter 船长种子包：</w:t>
      </w:r>
      <w:r>
        <w:rPr>
          <w:rFonts w:ascii="Microsoft YaHei" w:hAnsi="Microsoft YaHei" w:eastAsia="Microsoft YaHei"/>
          <w:color w:val="1F2933"/>
          <w:sz w:val="21"/>
        </w:rPr>
        <w:t>寄 Vessel Pro 样机 + Kit + 备用刀头 + 真空袋；30 天实海试换 3 段视频 + 反馈表，达标样机归船长并享首批量分销权。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话术分众：</w:t>
      </w:r>
      <w:r>
        <w:rPr>
          <w:rFonts w:ascii="Microsoft YaHei" w:hAnsi="Microsoft YaHei" w:eastAsia="Microsoft YaHei"/>
          <w:color w:val="1F2933"/>
          <w:sz w:val="21"/>
        </w:rPr>
        <w:t>Charter「几趟回本」/ 休闲船东「甲板上的 Catch-to-Table」/ 游艇「你游艇上的米其林体验」/ 合规「船规级、ABYC/CE，敢上海」。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3"/>
          <w:sz w:val="21"/>
        </w:rPr>
        <w:t>展会：</w:t>
      </w:r>
      <w:r>
        <w:rPr>
          <w:rFonts w:ascii="Microsoft YaHei" w:hAnsi="Microsoft YaHei" w:eastAsia="Microsoft YaHei"/>
          <w:color w:val="1F2933"/>
          <w:sz w:val="21"/>
        </w:rPr>
        <w:t>METSTRADE（阿姆斯特丹）、IBEX（美）、中国渔业博览会、悉尼船展实机演示。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Part 4 · 毛利分析（已更新）Margin Analysis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4.1 三场景 BOM 成本与增量（估算）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SKU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MSRP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工厂成本(估)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单台增量 vs 陆地基准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Standard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$499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~$160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基准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Pro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$999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~$420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+$260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Vessel Core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$599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~$285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+$115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Vessel Pro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$1,149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~$570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+$150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Yacht Core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$1,899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~$675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+$515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Yacht Pro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$2,899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~$1,070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+$650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B998B"/>
          <w:sz w:val="27"/>
        </w:rPr>
        <w:t>4.2 三级渠道毛利（以 MSRP 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拿货折扣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Vessel Core($599)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Vessel Pro($1,149)</w:t>
            </w:r>
          </w:p>
        </w:tc>
        <w:tc>
          <w:tcPr>
            <w:tcW w:type="dxa" w:w="1728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Yacht Pro($2,899)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授权零售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70%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$419.3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$804.3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$2,029.3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区域经销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60%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$359.4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$689.4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$1,739.4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国家分销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50%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$299.5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$574.5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$1,449.5</w:t>
            </w:r>
          </w:p>
        </w:tc>
      </w:tr>
    </w:tbl>
    <w:p/>
    <w:p>
      <w:r>
        <w:rPr>
          <w:rFonts w:ascii="Microsoft YaHei" w:hAnsi="Microsoft YaHei" w:eastAsia="Microsoft YaHei"/>
          <w:color w:val="1F2933"/>
          <w:sz w:val="21"/>
        </w:rPr>
        <w:t>示例：国家分销拿 Vessel Pro 付 $574.5，建议零售 $1,149 → 渠道潜在毛利 $574.5（未计配件复购）。所有价格以正式报价单为准。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4.3 整柜 / 年度测算（示例）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组合（整柜 200 台）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MSRP 合计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国家分销拿货</w:t>
            </w:r>
          </w:p>
        </w:tc>
        <w:tc>
          <w:tcPr>
            <w:tcW w:type="dxa" w:w="216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渠道潜在毛利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100×Vessel Core + 100×Vessel Pro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$174,800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$87,400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$87,400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50×Vessel Pro + 50×Yacht Pro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$202,400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$101,200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$101,200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B998B"/>
          <w:sz w:val="27"/>
        </w:rPr>
        <w:t>4.4 配件复购贡献</w:t>
      </w:r>
    </w:p>
    <w:p>
      <w:r>
        <w:rPr>
          <w:rFonts w:ascii="Microsoft YaHei" w:hAnsi="Microsoft YaHei" w:eastAsia="Microsoft YaHei"/>
          <w:color w:val="1F2933"/>
          <w:sz w:val="21"/>
        </w:rPr>
        <w:t>12 款通用配件（刀头 $29 / 真空袋 $19 / 鱼刀 $79 / 电池 $149 等）全系列通用，构成持续消耗收入。目标：船版/游艇版上线 12 个月后，配件复购贡献 ≥15% 该场景收入。</w:t>
      </w:r>
    </w:p>
    <w:p>
      <w:pPr>
        <w:pBdr>
          <w:bottom w:val="single" w:sz="6" w:space="4" w:color="1B998B"/>
        </w:pBdr>
      </w:pPr>
      <w:r>
        <w:rPr>
          <w:rFonts w:ascii="Microsoft YaHei" w:hAnsi="Microsoft YaHei" w:eastAsia="Microsoft YaHei"/>
          <w:b/>
          <w:color w:val="0B2545"/>
          <w:sz w:val="32"/>
        </w:rPr>
        <w:t>Part 5 · 风险与里程碑Risk &amp; Milestones</w:t>
      </w:r>
    </w:p>
    <w:p>
      <w:r>
        <w:rPr>
          <w:rFonts w:ascii="Microsoft YaHei" w:hAnsi="Microsoft YaHei" w:eastAsia="Microsoft YaHei"/>
          <w:b/>
          <w:color w:val="1B998B"/>
          <w:sz w:val="27"/>
        </w:rPr>
        <w:t>5.1 风险矩阵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288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影响场景</w:t>
            </w:r>
          </w:p>
        </w:tc>
        <w:tc>
          <w:tcPr>
            <w:tcW w:type="dxa" w:w="2880"/>
            <w:shd w:val="clear" w:color="auto" w:fill="D9F0EB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缓解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认证周期超预期（ABYC/CE）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船/游艇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阶段 0 启动询价排期；并行送检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316 支架/奢华外壳开模延期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船/游艇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阶段 1 前锁定 2 家备份供应商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船长种子反馈偏离预期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船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Beta 仅软改，硬改留 PVT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船电/岸电接口标准不一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船/游艇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宽压 + 防反接 + 多规格线束/AC 适配器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游艇奢华外壳成本失控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游艇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Microsoft YaHei" w:hAnsi="Microsoft YaHei" w:eastAsia="Microsoft YaHei"/>
                <w:color w:val="1F2933"/>
                <w:sz w:val="18"/>
              </w:rPr>
              <w:t>先小批量验证溢价接受度再放量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B998B"/>
          <w:sz w:val="27"/>
        </w:rPr>
        <w:t>5.2 里程碑 Gantt（陆地已交付，船版约 20 周，游艇滞后 ~2 季度）</w:t>
      </w:r>
    </w:p>
    <w:p>
      <w:r>
        <w:rPr>
          <w:rFonts w:ascii="Microsoft YaHei" w:hAnsi="Microsoft YaHei" w:eastAsia="Microsoft YaHei"/>
          <w:b/>
          <w:color w:val="1F2933"/>
          <w:sz w:val="21"/>
        </w:rPr>
        <w:t>文档归属</w:t>
      </w:r>
      <w:r>
        <w:rPr>
          <w:rFonts w:ascii="Microsoft YaHei" w:hAnsi="Microsoft YaHei" w:eastAsia="Microsoft YaHei"/>
          <w:color w:val="1F2933"/>
          <w:sz w:val="21"/>
        </w:rPr>
        <w:t xml:space="preserve"> · TailFin Marine 内部战略与执行文档。本档整合 MRD/PRD/GTM，并作为《商业计划书》《毛利分析》的权威更新来源，取代单独的《钓鱼船版方案》BOM 部分。所有价格、成本、复用率、毛利为估算，最终以正式 BOM 报价单、认证机构文件与经销合同为准。</w:t>
      </w:r>
    </w:p>
    <w:p>
      <w:r>
        <w:rPr>
          <w:rFonts w:ascii="Microsoft YaHei" w:hAnsi="Microsoft YaHei" w:eastAsia="Microsoft YaHei"/>
          <w:color w:val="1F2933"/>
          <w:sz w:val="21"/>
        </w:rPr>
        <w:t>关联文档：TailFin_Marine_商业介绍.html（商业计划书/已同步更新产品矩阵）· TailFin_Marine_SellSheet.html（A4 招商简版）· TailFin_Marine_钓鱼船版方案.html（钓鱼船专项）· data/products.json（BOM 基准源）。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