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下午班第 8 组分工与工作量报告</w:t>
      </w:r>
    </w:p>
    <w:p>
      <w:r>
        <w:t>更新日期：2026-09-08。负责人：甘文韬（学号：24150728）。</w:t>
      </w:r>
    </w:p>
    <w:p>
      <w:pPr>
        <w:pStyle w:val="Heading1"/>
      </w:pPr>
      <w:r>
        <w:t>调整后的任务分配</w:t>
      </w:r>
    </w:p>
    <w:p>
      <w:r>
        <w:t>团队现由五人继续开发。甘文韬在原有组长职责之外，完整承接 B2B 模块的开发、联调、规范维护和演示。原有 A/C/D/E 模块编号保留，MB 标记统一指向甘文韬负责的 B2B 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6"/>
        <w:gridCol w:w="4047"/>
        <w:gridCol w:w="2917"/>
        <w:gridCol w:w="941"/>
      </w:tblGrid>
      <w:tr>
        <w:trPr>
          <w:cantSplit/>
          <w:tblHeader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职责范围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横向文档与协作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工作量占比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甘文韬（M1/MB）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需求整合、进度计划、工作量报告、汇报主讲/PPT；B2B 状态机、接口/数据模型补充、采购链路测试与演示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陈婧琳（A）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品牌官网、响应式首页/PLP/PDP/对比、B2C 用户中心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交互说明、真实例会纪要、前台演示素材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周慧莹（C）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商品/SKU、库存、价格引擎、购物车与 B2C 订单；B2B 共用库存/价格契约复核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数据字典、API 规格、汇报技术章节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倪依玲（D）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 UI、CMS、媒体、联系工单、SEO 与审计查看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操作手册、后台操作截图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龙祖怡（E）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Docker、Seed、CI、接口自动化、压测、越权与兼容性测试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全套测试报告、验证证据归档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18.75%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合计</w:t>
            </w:r>
          </w:p>
        </w:tc>
        <w:tc>
          <w:tcPr>
            <w:tcW w:type="dxa" w:w="40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五人</w:t>
            </w:r>
          </w:p>
        </w:tc>
        <w:tc>
          <w:tcPr>
            <w:tcW w:type="dxa" w:w="29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每人另交本人独立技术现状/课程思政报告</w:t>
            </w:r>
          </w:p>
        </w:tc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r>
        <w:t>本表采用组长确认的工作量占比：甘文韬 25%，陈婧琳、周慧莹、倪依玲、龙祖怡各 18.75%，合计 100%。课程提交统一采用此比例，各成员职责及历史作者记录保持原有归属。</w:t>
      </w:r>
    </w:p>
    <w:p>
      <w:pPr>
        <w:pStyle w:val="Heading1"/>
      </w:pPr>
      <w:r>
        <w:t>甘文韬的两份任务与完成证据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工作包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本轮状态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M1 架构/认证/RBAC/MFA/审计/统一 API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基座已在主线；本轮复用安全会话与后台 MFA，新增 B2B 写操作事务审计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整合 CI #54；auth/rbac/mfa/common；b2b-flow.e2e-spec.ts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文档统筹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本报告；requirements.md v0.5；docs/README.md；schedule-current.md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经销商申请/审核/门户/资质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既有链路保留；目录与 Quick Order 增加实时成员和企业状态验证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MB PriceBook 授权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完成企业授权关系、后台授权/撤权、目录与 Quick Order 授权价读取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RFQ 询报价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完成草稿、提交、版本报价、接受/拒绝/过期判定及前后端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MB PO 采购订单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完成幂等转单、企业/收货/商品/金额快照、库存预留/返库/发货与履约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PurchaseOrder/Item 迁移；b2b-flow 与 b2b-after-sales；CI #54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M1 课程材料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项目汇报 PPT、测试报告及五份独立个人报告已整理；测试账号和 MFA 说明写入手册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deliverables 项目汇报 v1.3；</w:t>
            </w:r>
            <w:hyperlink r:id="rId10">
              <w:r>
                <w:rPr>
                  <w:color w:val="245578"/>
                </w:rPr>
                <w:t>五份独立报告</w:t>
              </w:r>
            </w:hyperlink>
            <w:r>
              <w:rPr>
                <w:sz w:val="20"/>
              </w:rPr>
              <w:t>；operation-manual.md §1</w:t>
            </w:r>
          </w:p>
        </w:tc>
      </w:tr>
    </w:tbl>
    <w:p>
      <w:pPr>
        <w:spacing w:after="40"/>
      </w:pPr>
    </w:p>
    <w:p>
      <w:r>
        <w:t xml:space="preserve">验证基线为提交 </w:t>
      </w:r>
      <w:r>
        <w:rPr>
          <w:rFonts w:ascii="Consolas" w:hAnsi="Consolas"/>
          <w:sz w:val="18"/>
        </w:rPr>
        <w:t>f3c074f</w:t>
      </w:r>
      <w:r>
        <w:t xml:space="preserve"> 与 </w:t>
      </w:r>
      <w:hyperlink r:id="rId11">
        <w:r>
          <w:rPr>
            <w:color w:val="245578"/>
          </w:rPr>
          <w:t>CI #54</w:t>
        </w:r>
      </w:hyperlink>
      <w:r>
        <w:t>。历史提交、作者与已发生的 PR 评审保留原记录；本表仅列后续五人分工，不追改早期参会和开发事实。个人报告与会议纪要分别按实际来源归档。</w:t>
      </w:r>
    </w:p>
    <w:p>
      <w:pPr>
        <w:pStyle w:val="Heading1"/>
      </w:pPr>
      <w:r>
        <w:t>课程提交口径</w:t>
      </w:r>
    </w:p>
    <w:p>
      <w:r>
        <w:t>课程材料、PPT 和提交包中的成员工作量均使用本表比例，不按实际工时重新折算。代码、文档、评审和测试记录用于说明已完成任务与职责，不用于另行调整已确认占比。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blob/feature/b2b-takeover/docs/individual-reports/README.md" TargetMode="External"/><Relationship Id="rId11" Type="http://schemas.openxmlformats.org/officeDocument/2006/relationships/hyperlink" Target="https://github.com/ganwentao20/wemove-sports-portal/actions/runs/341591526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 8 组分工与工作量报告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