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0 本次原站方向修正后的工作区复核</w:t>
      </w:r>
    </w:p>
    <w:p>
      <w:pPr>
        <w:ind w:firstLine="420"/>
      </w:pPr>
      <w:r>
        <w:t>本次工作区保留 www.wemovetoy.com 的 WEMOVE 标识、原木留白风格、首页交错图文结构、栏目与原站图片，并把现有 CMS、导航、商品、多语言、账户、交易和经销商能力接回该前端。修复内容包括：首页模块停用后不再由前端自动补回，通用 CMS 内容块可与原站模块共存；页头与页脚读取后台导航；英文首页和商品主数据不再混入中文；7 个原站产品补充结构化规格和正确适龄下限；增加 /dealers/apply、/play、/play/{slug} 兼容入口及 /products/{category} 分类解析。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 w:val="true"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检查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本次结果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TypeScript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npm run typecheck 通过，API 与 Web 均无类型错误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Lint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npm run lint 通过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单元测试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npm test 通过，29 个测试文件、154 个用例全部通过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数据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npm run db:seed 通过；中文与英文商品名称分别返回正确语言；首页公开接口返回 7 个原站模块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生产构建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npm run build 通过；Next.js 生成 53 个页面，NestJS 构建通过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页面人工检查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http://localhost:3000/zh?market=CN 与 /en?market=US 均显示原站首页图文结构和原站图片，主要 CTA 保留语言和市场参数</w:t>
            </w:r>
          </w:p>
        </w:tc>
      </w:tr>
    </w:tbl>
    <w:p>
      <w:pPr>
        <w:spacing w:after="20"/>
      </w:pPr>
    </w:p>
    <w:p>
      <w:pPr>
        <w:ind w:firstLine="420"/>
      </w:pPr>
      <w:r>
        <w:t>本节是当前工作区的本机结果，不冒充新的远端 CI。后文 CI #54、CI #51 和性能数据继续作为对应历史提交的归档证据。</w:t>
      </w:r>
    </w:p>
    <w:p>
      <w:pPr>
        <w:pStyle w:val="Heading2"/>
      </w:pPr>
      <w:r>
        <w:t>1 最终整合验证</w:t>
      </w:r>
    </w:p>
    <w:p>
      <w:pPr>
        <w:ind w:firstLine="420"/>
      </w:pPr>
      <w:r>
        <w:t>CI #54 已对提交 f3c074f0d4e7ad75761fd31f5a9de62d9a5db941 的整合代码树验证通过，包含 main 5642da2。其单元、集成及浏览器与性能检查分别为 110、169、70 项通过，生产启动、扫描和恢复检查也通过。CI 整合检出为 d79a2ebe69d68effbe38f9676a752f5daee325af，代码树为 ab1038af39980031ac8d6649a7dc02e27940a60e，mainIncluded 与 sourceAndCheckoutTreesMatch 均为 true。</w:t>
      </w:r>
    </w:p>
    <w:p>
      <w:pPr>
        <w:ind w:firstLine="420"/>
      </w:pPr>
      <w:r>
        <w:t>下表保留 CI #51 的归档基线，第 4 节页面性能数据也来自该次运行。后续 CI 通过不会改变旧样本的来源，开发分支 CI #44 不作为最终整合结论。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 w:val="true"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追溯项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记录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功能源码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4fe216999760763d953c33d6ff519f355c90c20d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已包含 main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5642da28542373bbe747dd941b8c0394a5b8c4ed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CI 整合检出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e4fb9cfb03834710c37f2ecda9595daddfae19eb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同一代码树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a7be7641c3ffebde2fd748363c17a28e52fee85a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一致性检查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mainIncluded 和 sourceAndCheckoutTreesMatch 均为 true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后续复核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CI #54 已验证上述 f3c074f 提交；本表和第 4 节保留 CI #51 原始记录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 w:val="true"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检查层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单元测试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24 个文件、110 个用例通过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数据库、HTTP、Redis、Mailpit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21 个文件、169 个用例通过，无跳过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浏览器与性能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Chromium、Firefox、WebKit 各 23 个场景，加 1 个性能任务，共 70 项通过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安装与工程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干净依赖安装、类型、lint、生产依赖审计、API/Web 构建通过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数据与生产运行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29 次迁移、生产镜像、Web/同源代理/鉴权、62 张物理表与媒体样本恢复通过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扫描与恢复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真实 ClamAV clean/EICAR/401/503 和 WAL 时间点恢复通过</w:t>
            </w:r>
          </w:p>
        </w:tc>
      </w:tr>
    </w:tbl>
    <w:p>
      <w:pPr>
        <w:spacing w:after="20"/>
      </w:pPr>
    </w:p>
    <w:p>
      <w:pPr>
        <w:ind w:firstLine="420"/>
      </w:pPr>
      <w:r>
        <w:t>61 个 Prisma 业务模型与包含迁移管理表的 62 张物理表不是同一计数口径。各测试层的用例数也不能相加称为独立需求覆盖率。完整 CI #51 artifact 包含原始运行结果；核心 JSON 已存入仓库 docs/evidence/report-20260908，文件哈希见该目录 manifest.json。</w:t>
      </w:r>
    </w:p>
    <w:p>
      <w:pPr>
        <w:pStyle w:val="Heading2"/>
      </w:pPr>
      <w:r>
        <w:t>2. 测试环境与账号密码</w:t>
      </w:r>
    </w:p>
    <w:p>
      <w:pPr>
        <w:ind w:firstLine="420"/>
      </w:pPr>
      <w:r>
        <w:t>CI 使用 Ubuntu runner、Node 22、锁文件依赖、PostgreSQL 16、Redis 7、Mailpit，以及生产 Web 构建。浏览器使用 https://127.0.0.1:3443 测试代理，保留 Secure/HttpOnly/SameSite 会话。测试上下文接受本机短期自签证书，不能将其作为公网正式 TLS。</w:t>
      </w:r>
    </w:p>
    <w:p>
      <w:pPr>
        <w:ind w:firstLine="420"/>
      </w:pPr>
      <w:r>
        <w:t>本机检查环境为 Windows、Intel Core i9-14900HX、32 逻辑处理器、16 GiB 内存、Node v24.14.0，API 8080、Web 3000、HTTPS 3443。新建独立数据库 wemove_demo_20260908，29 次迁移和 seed 成功；Redis 使用本地逻辑库 14，SMTP 指向本地 Mailpit。不是正式客户数据或生产服务。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cantSplit/>
          <w:tblHeader w:val="true"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测试角色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用户名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密码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登录入口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消费者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customer@wemove.local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Demo1234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/login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经销商（BUYER）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dealer@wemove.local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Demo1234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/login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超级管理员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admin@wemove.local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Demo1234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/login</w:t>
            </w:r>
          </w:p>
        </w:tc>
      </w:tr>
    </w:tbl>
    <w:p>
      <w:pPr>
        <w:spacing w:after="20"/>
      </w:pPr>
    </w:p>
    <w:p>
      <w:pPr>
        <w:ind w:firstLine="420"/>
      </w:pPr>
      <w:r>
        <w:t>三类测试账号统一使用 http://localhost:3000/login（HTTPS：https://127.0.0.1:3443/login）；原三入口仅兼容跳转，按身份进入账户中心、企业目录或后台。经销商按要求完成条款或 MFA；员工须绑定验证器并验证当前六位动态码。凭据仅用于测试，重新执行 seed 会把三个演示账号重置为下表密码，禁止对生产库执行演示 seed。</w:t>
      </w:r>
    </w:p>
    <w:p>
      <w:pPr>
        <w:ind w:firstLine="420"/>
      </w:pPr>
      <w:r>
        <w:t>统一登录回归检查：干净暂存快照的 API lint、类型检查、构建及 Web 类型检查、--webpack 生产构建通过；API 25 文件、129 项测试通过，含新增 19 项统一登录单测。浏览器使用原工作区生产构建与本机开发库 wemove：Chromium 统一登录 4 项、采购与购物各 1 项通过，WebKit 统一登录 4 项通过。</w:t>
      </w:r>
    </w:p>
    <w:p>
      <w:pPr>
        <w:ind w:firstLine="420"/>
      </w:pPr>
      <w:r>
        <w:t>Firefox 本机启动报 spawn UNKNOWN，3 项浏览器用例未执行，待 Linux CI 核验。本轮仅记录上述本机结果，历史 CI #54 与 CI #51 的证据来源及统计不变。</w:t>
      </w:r>
    </w:p>
    <w:p>
      <w:pPr>
        <w:pStyle w:val="Heading2"/>
      </w:pPr>
      <w:r>
        <w:t>3. 主要用例与实际预期</w:t>
      </w:r>
    </w:p>
    <w:p>
      <w:pPr>
        <w:ind w:firstLine="420"/>
      </w:pPr>
      <w:r>
        <w:t>以下是报告中的可读用例索引，完整参数和断言保留在 apps/api/test、tests/browser 与相应源文件单测中；每项均可由 CI #51 对应套件追溯。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 w:val="true"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用例/套件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操作与检查点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预期与结果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auth / identity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注册、验证/重置令牌重复使用、停用后重试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成年声明校验；一次性令牌不能重放；通过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identity / MFA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员工仅提交密码；再完成动态码；角色撤权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密码只产生 challenge；MFA 后有会话，撤权立即生效；通过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catalog / pricing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不同市场与角色查询商品/价格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公开零售价可见，企业内部价不泄露；通过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cart / retail-commerce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游客购物车合并、数量变更、结算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合并幂等，服务端重核价格、库存、税运；通过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order / refund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重复支付回调、错金额退款、取消/售后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付款与退款身份及币种匹配，库存和流水不重复处理；通过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return-evidence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本人/他人访问私有退货图片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业务归属鉴权，越权拒绝；通过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dealer-lifecycle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申请、企业批准、条款、成员停用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企业状态和当前成员身份约束访问；通过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b2b-flow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CSV 错误行、MOQ、报价版本/到期、重复转 PO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逐行错误；仅最新有效报价转单，重复请求幂等；通过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b2b-after-sales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分批履约、退货与部分/全额退款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保留状态、数量、金额和审计约束；通过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media-lifecycle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MIME/大小/扫描/权限、版本与引用删除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非法上传和越权下载拒绝，有引用资源不能错误删除；通过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platform / content-navigation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未来/禁用内容、手动文章集合、多语 SEO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未发布内容隐藏，所选内容和元信息一致；通过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contact / notifications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表单反垃圾、工单流转、通知 outbox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输入校验、受控流转、通知持久化；通过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浏览器业务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消费者购买、经销商 CSV→RFQ→PO、MFA 后台、授权 PDF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三引擎实际业务路径通过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页面与无障碍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六种宽度、axe critical/serious、键盘链接、减少动态效果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无横向溢出；指定级别自动扫描无问题；通过</w:t>
            </w:r>
          </w:p>
        </w:tc>
      </w:tr>
    </w:tbl>
    <w:p>
      <w:pPr>
        <w:spacing w:after="20"/>
      </w:pPr>
    </w:p>
    <w:p>
      <w:pPr>
        <w:ind w:firstLine="420"/>
      </w:pPr>
      <w:r>
        <w:t>本机初轮出现文章链接朗读名称变化导致旧断言失败；已为集合卡片设置清晰的名称，随后 Chromium/WebKit 相关 4 项复测通过，CI #51 全部 70 项通过。本机 Firefox 的 spawn UNKNOWN 是启动环境失败，未记为本机浏览器通过；Linux CI 的 Firefox 独立通过。页面截图仅证明所展示界面，不能替代未拍到的业务动作证据。</w:t>
      </w:r>
    </w:p>
    <w:p>
      <w:pPr>
        <w:pStyle w:val="Heading2"/>
      </w:pPr>
      <w:r>
        <w:t>4. 页面性能（CI #51）</w:t>
      </w:r>
    </w:p>
    <w:p>
      <w:pPr>
        <w:ind w:firstLine="420"/>
      </w:pPr>
      <w:r>
        <w:t>生产构建、Chromium、Lighthouse 移动模拟；每模板三次冷浏览器采样，LCP/TBT 取中位数，CLS 取最差值。下表来自同次 artifact 的原始 summary，不是 API 请求时间。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cantSplit/>
          <w:tblHeader w:val="true"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模板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LCP 中位数 ms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CLS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TBT 中位数 ms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home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1567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0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49.0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products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2350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0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60.5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product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2419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0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51.0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article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2260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0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48.5</w:t>
            </w:r>
          </w:p>
        </w:tc>
      </w:tr>
    </w:tbl>
    <w:p>
      <w:pPr>
        <w:spacing w:after="20"/>
      </w:pPr>
    </w:p>
    <w:p>
      <w:pPr>
        <w:ind w:firstLine="420"/>
      </w:pPr>
      <w:r>
        <w:t>四模板均满足本轮 LCP &lt; 2500 ms、CLS ≤ 0.1 的实验室门槛。API 五条路径各 30 样本、5 并发的 P95 回归也通过；这与下面的 100 用户负载分开记录，不能换算成真实用户 INP 或公网 SLA。</w:t>
      </w:r>
    </w:p>
    <w:p>
      <w:pPr>
        <w:pStyle w:val="Heading2"/>
      </w:pPr>
      <w:r>
        <w:t>5 本机 100 用户负载实测</w:t>
      </w:r>
    </w:p>
    <w:p>
      <w:pPr>
        <w:ind w:firstLine="420"/>
      </w:pPr>
      <w:r>
        <w:t>脚本：scripts/load-acceptance.mjs。只允许本机地址，运行 node scripts/load-acceptance.mjs public 或 node scripts/load-acceptance.mjs mixed。100 个虚拟用户，每用户每秒一请求，共 60 轮；首批从 0 秒开始，最后一批在第 59 秒，因此实际响应完成时长如下。每轮同步发起，等待完整响应体计时；升序第 ceil(n×0.95) 项为 P95。未关闭或提高默认限流。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 w:val="true"/>
        </w:trPr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请求数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实际时长 s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P95 ms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错误率 / 429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100 用户公开浏览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6000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59.10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118.67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0% / 0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90 访客＋10 已登录用户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6000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59.11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110.21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0% / 0</w:t>
            </w:r>
          </w:p>
        </w:tc>
      </w:tr>
    </w:tbl>
    <w:p>
      <w:pPr>
        <w:spacing w:after="20"/>
      </w:pPr>
    </w:p>
    <w:p>
      <w:pPr>
        <w:ind w:firstLine="420"/>
      </w:pPr>
      <w:r>
        <w:t>公开场景轮换列表、详情、搜索、文章和站点配置。混合场景事先实际登录 10 次，使用同一 seed 客户的 10 个独立会话；5400 个公开请求、600 个 /auth/me 请求全部返回 200，已登录组 P95 为 123.09 ms。登录准备不计入负载计时，不能把它写成“每十次请求重新提交一次密码”的密码哈希压测。</w:t>
      </w:r>
    </w:p>
    <w:p>
      <w:pPr>
        <w:ind w:firstLine="420"/>
      </w:pPr>
      <w:r>
        <w:t>该结果支持给定数据与约 100 请求/秒节奏下的本机 100 用户访问。它不是无等待的满速连接压测、长时间浸泡测试、真实百个不同账户或生产容量承诺。默认登录单 IP 每分钟 30 次限制仍保留；高频重复登录出现 429 应单列为防护结果。原始逐请求时延、状态码、环境及时间已归档。</w:t>
      </w:r>
    </w:p>
    <w:p>
      <w:pPr>
        <w:pStyle w:val="Heading2"/>
      </w:pPr>
      <w:r>
        <w:t>6 账号与课程材料</w:t>
      </w:r>
    </w:p>
    <w:p>
      <w:pPr>
        <w:ind w:firstLine="420"/>
      </w:pPr>
      <w:r>
        <w:t>测试用户名、密码见第 2 节。项目实际工作量占比为：甘文韬 25%，陈婧琳、周慧莹、倪依玲、龙祖怡各 18.75%，合计 100%。</w:t>
      </w:r>
    </w:p>
    <w:p>
      <w:pPr>
        <w:ind w:firstLine="420"/>
      </w:pPr>
      <w:r>
        <w:t>操作手册包含七张实际页面截图、登录与 MFA 说明。个人技术现状与课程思政报告已有 5/5，本次补入周慧莹报告；五份个人 AI 说明和团队汇总齐备。</w:t>
      </w:r>
    </w:p>
    <w:p>
      <w:pPr>
        <w:pStyle w:val="Heading2"/>
      </w:pPr>
      <w:r>
        <w:t>7. 尚不能宣称完成的验收</w:t>
      </w:r>
    </w:p>
    <w:p>
      <w:pPr>
        <w:ind w:firstLine="420"/>
      </w:pPr>
      <w:r>
        <w:t>正式支付/退款和银行到账需要真实商户、密钥与具体协议联调；物流、ERP、正式税务票据需要供应商接口与业务确认。正式域名、外部 SMTP、CDN、授权商品素材、旧站全量迁移和异地切流需要对应资源。真机与完整人工无障碍、真实流量指标、月度可用率需实际设备和持续运行周期。课程演示使用测试账号、种子数据和 DEMO 支付，不冒充已上线经营。</w:t>
      </w:r>
    </w:p>
    <w:p>
      <w:pPr>
        <w:ind w:firstLine="420"/>
      </w:pPr>
      <w:r>
        <w:t>原始历史报告 v0.2/v0.6、CI #49 证据及成员贡献记录保留原版本，不把旧数字移植到新提交。最终冻结源码提交以提交包内 FINAL-SOURCE-SHA.txt 为准；是否合入 main 与冻结代码树通过测试是两件不同的事实。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76" w:bottom="1077" w:left="1276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77"/>
      <w:gridCol w:w="4677"/>
    </w:tblGrid>
    <w:tr>
      <w:tc>
        <w:tcPr>
          <w:tcW w:type="dxa" w:w="4677"/>
        </w:tcPr>
        <w:p>
          <w:r>
            <w:rPr>
              <w:rFonts w:ascii="Aptos" w:hAnsi="Aptos" w:eastAsia="等线"/>
              <w:color w:val="5D6975"/>
              <w:sz w:val="16"/>
            </w:rPr>
            <w:t>下午班第 8 组  ·  2026-09-08</w:t>
          </w:r>
        </w:p>
      </w:tc>
      <w:tc>
        <w:tcPr>
          <w:tcW w:type="dxa" w:w="4677"/>
        </w:tcPr>
        <w:p>
          <w:pPr>
            <w:jc w:val="right"/>
          </w:pPr>
          <w:r>
            <w:rPr>
              <w:rFonts w:ascii="Aptos" w:hAnsi="Aptos" w:eastAsia="等线"/>
              <w:color w:val="5D6975"/>
              <w:sz w:val="16"/>
            </w:rPr>
            <w:t xml:space="preserve">第 </w:t>
          </w:r>
          <w:r>
            <w:fldChar w:fldCharType="begin"/>
            <w:instrText xml:space="preserve"> PAGE </w:instrText>
            <w:fldChar w:fldCharType="separate"/>
            <w:t>请在 Word 中更新目录</w:t>
            <w:fldChar w:fldCharType="end"/>
          </w:r>
          <w:r>
            <w:rPr>
              <w:rFonts w:ascii="Aptos" w:hAnsi="Aptos" w:eastAsia="等线"/>
              <w:color w:val="5D6975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等线"/>
        <w:b/>
        <w:sz w:val="16"/>
      </w:rPr>
      <w:t>WEMOVE 原网站重构  ·  系统测试报告  ·  v0.9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93"/>
    </w:pPr>
    <w:rPr>
      <w:rFonts w:ascii="Aptos" w:hAnsi="Aptos" w:eastAsia="等线"/>
      <w:color w:val="26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等线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WEMOVE 原网站重构系统测试报告 v0.9</dc:title>
  <dc:subject>当前工作区复核与历史整合测试证据</dc:subject>
  <dc:creator>甘文韬、龙祖怡</dc:creator>
  <cp:keywords>WEMOVE, 原网站重构, 测试报告, 第8组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