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420"/>
      </w:pPr>
      <w:r>
        <w:t>姓名：龙祖怡。学号：24151010。课程：软件开发实践 2，下午班第 8 组。</w:t>
      </w:r>
    </w:p>
    <w:p>
      <w:pPr>
        <w:ind w:firstLine="420"/>
      </w:pPr>
      <w:r>
        <w:t>本人分工：组员 E，测试与工程化。本文中的 E1/E2 与 100 并发数据对应 2026 年 9 月 6 日阶段；校订日期为 2026 年 9 月 8 日，最终整合结果另见团队测试报告。</w:t>
      </w:r>
    </w:p>
    <w:p>
      <w:pPr>
        <w:pStyle w:val="Heading2"/>
      </w:pPr>
      <w:r>
        <w:t>一、项目与本人任务</w:t>
      </w:r>
    </w:p>
    <w:p>
      <w:pPr>
        <w:ind w:firstLine="420"/>
      </w:pPr>
      <w:r>
        <w:t>本次软件开发实践课程中，我作为组员 E 参与 WEMOVE 原网站与业务门户重构，负责测试与工程化，涉及环境搭建、邮箱验证、持续集成与性能压测。这些工作让我认识到，软件质量需要通过具体的环境、用例和数据说明，开发者也应对测试结论承担责任。</w:t>
      </w:r>
    </w:p>
    <w:p>
      <w:pPr>
        <w:pStyle w:val="Heading2"/>
      </w:pPr>
      <w:r>
        <w:t>二、Web 开发技术现状</w:t>
      </w:r>
    </w:p>
    <w:p>
      <w:pPr>
        <w:ind w:firstLine="420"/>
      </w:pPr>
      <w:r>
        <w:t>通过本项目，我接触了组件化页面、服务端渲染和类型检查等 Web 开发方法。我们使用 Next.js 与 TypeScript 搭建前台：组件化便于复用页面，类型检查帮助发现接口结构不一致，服务端渲染有助于交付首屏内容。具体性能仍受数据、图片、字体和缓存影响，需要通过实际运行确认。</w:t>
      </w:r>
    </w:p>
    <w:p>
      <w:pPr>
        <w:ind w:firstLine="420"/>
      </w:pPr>
      <w:r>
        <w:t>项目采用 NestJS 模块化组织鉴权、商品与安全业务，并约定统一响应结构与错误码，使前后端协作有清晰契约，排错也更有依据。邮箱验证、失败锁定、限流与越权控制等安全能力，需要在架构设计时考虑，并为正常操作和失败路径分别设计测试。</w:t>
      </w:r>
    </w:p>
    <w:p>
      <w:pPr>
        <w:ind w:firstLine="420"/>
      </w:pPr>
      <w:r>
        <w:t>PostgreSQL 承载核心业务数据，Redis 负责缓存与限流，Prisma 统一建模与迁移；金额以整数“分”存储，外键、枚举、事务和业务校验共同约束数据。Docker 统一运行环境，npm workspaces 管理多应用，GitHub Actions 对 Pull Request 和主线提交自动执行检查。这些工具让环境和验证过程更容易复现，也便于定位迁移、依赖或业务规则的问题。</w:t>
      </w:r>
    </w:p>
    <w:p>
      <w:pPr>
        <w:ind w:firstLine="420"/>
      </w:pPr>
      <w:r>
        <w:t>我也使用大模型辅助理解报错和编写测试。工具给出的命令和结论需要结合当前依赖、环境和实际输出来判断，不能直接当作验证结果。</w:t>
      </w:r>
    </w:p>
    <w:p>
      <w:pPr>
        <w:pStyle w:val="Heading2"/>
      </w:pPr>
      <w:r>
        <w:t>三、国产基础软件与后续学习</w:t>
      </w:r>
    </w:p>
    <w:p>
      <w:pPr>
        <w:ind w:firstLine="420"/>
      </w:pPr>
      <w:r>
        <w:t>学习本项目使用的开源工具，也让我开始关注基础软件和工具链的自主发展。对学生而言，可以从阅读源码、记录兼容性问题、理解数据库和网络原理等具体工作入手，再尝试学习国产技术栈和参与开源。本项目没有进行国产操作系统或数据库的兼容性测试，因此我把这部分作为后续学习方向，不将它写成已经取得的实践成果。</w:t>
      </w:r>
    </w:p>
    <w:p>
      <w:pPr>
        <w:pStyle w:val="Heading2"/>
      </w:pPr>
      <w:r>
        <w:t>四、项目实践中的课程思政体会</w:t>
      </w:r>
    </w:p>
    <w:p>
      <w:pPr>
        <w:ind w:firstLine="420"/>
      </w:pPr>
      <w:r>
        <w:t>我在小组负责测试与工程化。E1 引入 Mailpit 并补强 CI，让 Pull Request 检查自动启动 PostgreSQL、Redis，执行迁移与端到端测试；在 2026 年 9 月 6 日的 E2 阶段，我参与目录冒烟测试和当时 19 个端到端用例的验证，并完成 100 连接、30 秒的本地只读压测。所交阶段测试报告记录的商品列表与详情 P99 分别为 134 和 103 毫秒；这些数据只对应当时环境和接口，是阶段实践记录，不代表最终整合版本的容量。这段经历让我认识到：质量靠流程、工具与数据保障，测试做得好，团队才能放心交付。</w:t>
      </w:r>
    </w:p>
    <w:p>
      <w:pPr>
        <w:ind w:firstLine="420"/>
      </w:pPr>
      <w:r>
        <w:t>测试也教会我如实记录。压测触发 429 限流时，我们把它记为防护有效的证据，不掩盖结果；自动化用例结论以对应提交的 CI 核对，本地压测另注明环境、命令、日期与原始输出；未在 CI 执行的项目不写成 CI 已验证。对数据负责、对结论诚实，是工程师最基本的职业操守。</w:t>
      </w:r>
    </w:p>
    <w:p>
      <w:pPr>
        <w:ind w:firstLine="420"/>
      </w:pPr>
      <w:r>
        <w:t>项目中期发生 main 误推、源码报错的事件，团队保全原提交，通过可逆回滚恢复基线，再核对运行与 CI 结果。这次波折让我明白：分支规范、例会进度与代码评审，是保护团队成果的流程纪律；只有严格遵守，团队才能在六天的高强度开发中保持主线稳定。</w:t>
      </w:r>
    </w:p>
    <w:p>
      <w:pPr>
        <w:ind w:firstLine="420"/>
      </w:pPr>
      <w:r>
        <w:t>邮箱验证、成年人声明、价格隔离和接口限流，让我看到了保护用户权益所需要的具体技术措施。WEMOVE 展示原木滚珠轨道等儿童产品，账户和交易则面向成年人；产品说明应准确，账号声明也不能当作真实年龄核验。开发者需要区分产品服务对象、实际账户主体和已经验证的事实。</w:t>
      </w:r>
    </w:p>
    <w:p>
      <w:pPr>
        <w:pStyle w:val="Heading2"/>
      </w:pPr>
      <w:r>
        <w:t>五、结语</w:t>
      </w:r>
    </w:p>
    <w:p>
      <w:pPr>
        <w:ind w:firstLine="420"/>
      </w:pPr>
      <w:r>
        <w:t>今后我会继续学习后端、数据库与安全测试，练习记录可以复现的命令、环境和结果，并了解国产技术与开源协作。此次实践中最需要坚持的习惯，是如实记录失败与限制，让团队能够依据证据判断软件是否达到要求。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等线"/>
        <w:color w:val="5D6975"/>
        <w:sz w:val="16"/>
      </w:rPr>
      <w:t>WEMOVE 原网站重构 · 软件开发实践2 · 2026-09-08 校订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93"/>
    </w:pPr>
    <w:rPr>
      <w:rFonts w:ascii="Aptos" w:hAnsi="Aptos" w:eastAsia="等线"/>
      <w:color w:val="26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80" w:after="140"/>
      <w:outlineLvl w:val="0"/>
    </w:pPr>
    <w:rPr>
      <w:rFonts w:asciiTheme="majorHAnsi" w:eastAsiaTheme="majorEastAsia" w:hAnsiTheme="majorHAnsi" w:cstheme="majorBidi" w:ascii="Aptos Display" w:hAnsi="Aptos Display" w:eastAsia="等线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 w:eastAsia="等线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Aptos Display" w:hAnsi="Aptos Display" w:eastAsia="等线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等线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开发技术现状与课程思政报告（龙祖怡）</dc:title>
  <dc:subject>保留原网站前端与原图，复用既有后端并补齐课程选题功能</dc:subject>
  <dc:creator>龙祖怡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