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成员 A 需求分析审核稿</w:t>
      </w:r>
    </w:p>
    <w:p>
      <w:r>
        <w:t>审核日期：2026-09-08。原稿作者：陈婧琳（成员 A）。来源：《成员A_需求分析 (1).docx》。本稿对应前台与用户中心需求，保留原稿作为阶段材料，整合后的全项目范围以团队项目需求文档为准。</w:t>
      </w:r>
    </w:p>
    <w:p>
      <w:r>
        <w:t xml:space="preserve">原稿中的“一周版本”“本期优先”和占位安排属于历史排期，不能删减最终需求。本稿修正范围与编号，并列出实际页面入口和验收标准，便于与 </w:t>
      </w:r>
      <w:hyperlink r:id="rId10">
        <w:r>
          <w:rPr>
            <w:color w:val="245578"/>
          </w:rPr>
          <w:t>最终需求追踪矩阵</w:t>
        </w:r>
      </w:hyperlink>
      <w:r>
        <w:t xml:space="preserve"> 对照。当前功能验证见 </w:t>
      </w:r>
      <w:hyperlink r:id="rId11">
        <w:r>
          <w:rPr>
            <w:color w:val="245578"/>
          </w:rPr>
          <w:t>系统测试报告</w:t>
        </w:r>
      </w:hyperlink>
      <w:r>
        <w:t xml:space="preserve">；正式商户、真机和生产资源等条件见 </w:t>
      </w:r>
      <w:hyperlink r:id="rId12">
        <w:r>
          <w:rPr>
            <w:color w:val="245578"/>
          </w:rPr>
          <w:t>真实资源清单</w:t>
        </w:r>
      </w:hyperlink>
      <w:r>
        <w:t>。文档审核本身不产生新的软件测试结果。</w:t>
      </w:r>
    </w:p>
    <w:p>
      <w:pPr>
        <w:pStyle w:val="Heading1"/>
      </w:pPr>
      <w:r>
        <w:t>1 审核结论与必须修正的表述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70"/>
        <w:gridCol w:w="3388"/>
        <w:gridCol w:w="3953"/>
      </w:tblGrid>
      <w:tr>
        <w:trPr>
          <w:cantSplit/>
          <w:tblHeader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原稿定位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审核后的处理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FE-004、SEA-A03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搜索联想被写成“有条件”“开发进度允许”“一周版本可简化”。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仅保留为历史迭代安排；最终按原文 FE-004、SEA-001～007 验收产品/内容统一搜索、联想、无结果引导和权限/市场/语言过滤。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FE-006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语言/地区/货币仅占位，不做价格联动。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最终必须按原文 FE-006、§9.2、§12 重新应用市场币种、价格、商品及内容可见性。没有完整译文时执行整页回退或隐藏，不能只翻导航后混排正文。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PLP-002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“至少分类，视数据支持年龄或场景”低于原文。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恢复类别、年龄、场景、技能、室内/户外、库存、价格区间及后台筛选字段控制；筛选/排序写入 URL，空结果提供清除、分类及推荐。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PDP-009、§4.4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相关产品被列为可删扩展；原稿未完整列出变体联动、交易/经销商 CTA、授权下载、FAQ、经销商规则、Schema 和分享。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按原文 PDP-001～014 补全；会员价格必须由接口权限保护，接口分工不能解释为取消前台功能。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USR-001～007、§5.1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注册协议/独立营销同意、邮箱验证、订单售后、会话和删除申请未完整列出；找回邮件可延后。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恢复原文 USR-001～010、§5.2 的完整流程，真实邮件交付和敏感访问控制由前后端协作完成。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A-ACC-010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CMS 页面允许“占位数据”通过验收。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占位仅用于开发；最终应通过受权后台编辑/发布并公开读取实际数据库记录，未发布或未授权资料不得泄露。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§21.2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真机测试被“实际设备或响应式模拟”替代。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原文要求最近两大版本的主流浏览器及 iOS Safari、Android Chrome 实际设备测试；模拟器和 Playwright 引擎只能作为补充证据。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§21.3、§21.4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无障碍遗漏购买核心流程；性能只写“无明显白屏”。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恢复购买键盘流程、自动扫描和人工抽检；保留 LCP/CLS/INP、四类模板、真实网络、图片与缓存的明确目标，区分实验室与正式运行数据。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HOME-001、A-ACC-001/002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将多张 Hero 轮播、自动切换和触摸切换写成硬验收。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这是成员稿新增的交互提案；原文 HOME-001 要求可配置 Hero，未强制多图轮播。当前 Hero 支持图片/视频封面、对齐、CTA 和排程，未实现该多图轮播，不得声称已完成。若保留此提案，应单列范围变更及验收，不混用原始 HOME-001。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PLP/PDP/USR 编号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原稿复用了原文编号，却调整了含义，易产生错误追踪。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 xml:space="preserve">将原稿编号注明为 </w:t>
            </w:r>
            <w:r>
              <w:rPr>
                <w:rFonts w:ascii="Consolas" w:hAnsi="Consolas"/>
                <w:sz w:val="20"/>
              </w:rPr>
              <w:t>A-DRAFT-*</w:t>
            </w:r>
            <w:r>
              <w:rPr>
                <w:sz w:val="20"/>
              </w:rPr>
              <w:t xml:space="preserve"> 或列出明确映射；最终要求和测试追踪采用原文编号，不按名称近似直接合并。</w:t>
            </w:r>
          </w:p>
        </w:tc>
      </w:tr>
    </w:tbl>
    <w:p>
      <w:pPr>
        <w:spacing w:after="40"/>
      </w:pPr>
    </w:p>
    <w:p>
      <w:pPr>
        <w:pStyle w:val="Heading1"/>
      </w:pPr>
      <w:r>
        <w:t>2 范围和协作边界</w:t>
      </w:r>
    </w:p>
    <w:p>
      <w:r>
        <w:t xml:space="preserve">成员 A 负责品牌官网和用户中心的前端页面、交互、响应式及接口联调；C 提供商品/价格/库存/交易核心能力，D 提供 CMS/媒体/客服与运营能力，组长负责认证、权限和整合。原 B2B 工作后续由甘文韬承接，见 </w:t>
      </w:r>
      <w:hyperlink r:id="rId13">
        <w:r>
          <w:rPr>
            <w:color w:val="245578"/>
          </w:rPr>
          <w:t>当前分工</w:t>
        </w:r>
      </w:hyperlink>
      <w:r>
        <w:t>。上述分工是协作责任划分，不表示 A 的页面可以永久保留占位，也不代表最终功能由 A 一人独立开发。</w:t>
      </w:r>
    </w:p>
    <w:p>
      <w:r>
        <w:t xml:space="preserve">正式会议纪要独立归档，见 </w:t>
      </w:r>
      <w:hyperlink r:id="rId14">
        <w:r>
          <w:rPr>
            <w:color w:val="245578"/>
          </w:rPr>
          <w:t>第一次组会记录</w:t>
        </w:r>
      </w:hyperlink>
      <w:r>
        <w:t>。保留当时六人参会事实，与后来五人分工分别记录，不追改历史讨论或个人贡献。</w:t>
      </w:r>
    </w:p>
    <w:p>
      <w:pPr>
        <w:pStyle w:val="Heading1"/>
      </w:pPr>
      <w:r>
        <w:t>3 信息架构与实际路由映射</w:t>
      </w:r>
    </w:p>
    <w:p>
      <w:r>
        <w:t xml:space="preserve">原始规格和成员稿中的 URL 是建议路由；当前代码采用下表入口。这里记录实际页面映射，不暗示不存在的旧路径已有重定向。公共页面的语言前缀和 </w:t>
      </w:r>
      <w:r>
        <w:rPr>
          <w:rFonts w:ascii="Consolas" w:hAnsi="Consolas"/>
          <w:sz w:val="18"/>
        </w:rPr>
        <w:t>market</w:t>
      </w:r>
      <w:r>
        <w:t xml:space="preserve"> 查询参数由站点策略处理。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70"/>
        <w:gridCol w:w="3388"/>
        <w:gridCol w:w="3953"/>
      </w:tblGrid>
      <w:tr>
        <w:trPr>
          <w:cantSplit/>
          <w:tblHeader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内容或任务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成员稿建议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当前入口 / 说明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首页、产品列表/详情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/products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/products/{slug}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 xml:space="preserve">保持这些业务路径；公开语言页面例如 </w:t>
            </w:r>
            <w:r>
              <w:rPr>
                <w:rFonts w:ascii="Consolas" w:hAnsi="Consolas"/>
                <w:sz w:val="20"/>
              </w:rPr>
              <w:t>/en/products?market=US</w:t>
            </w:r>
            <w:r>
              <w:rPr>
                <w:sz w:val="20"/>
              </w:rPr>
              <w:t>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分类、年龄、新品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顶级导航的二级入口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 xml:space="preserve">产品列表 URL 筛选及 </w:t>
            </w:r>
            <w:r>
              <w:rPr>
                <w:rFonts w:ascii="Consolas" w:hAnsi="Consolas"/>
                <w:sz w:val="20"/>
              </w:rPr>
              <w:t>/new</w:t>
            </w:r>
            <w:r>
              <w:rPr>
                <w:sz w:val="20"/>
              </w:rPr>
              <w:t xml:space="preserve">；分类内容使用 </w:t>
            </w:r>
            <w:r>
              <w:rPr>
                <w:rFonts w:ascii="Consolas" w:hAnsi="Consolas"/>
                <w:sz w:val="20"/>
              </w:rPr>
              <w:t>/products?category={slug}&amp;market={market}</w:t>
            </w:r>
            <w:r>
              <w:rPr>
                <w:sz w:val="20"/>
              </w:rPr>
              <w:t>，不要求每类新建独立路由文件。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产品比较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rFonts w:ascii="Consolas" w:hAnsi="Consolas"/>
                <w:sz w:val="20"/>
              </w:rPr>
              <w:t>/compare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/compare</w:t>
            </w:r>
            <w:r>
              <w:rPr>
                <w:sz w:val="20"/>
              </w:rPr>
              <w:t>；最多四件，保留可分享的比较 URL。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玩法/文章列表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rFonts w:ascii="Consolas" w:hAnsi="Consolas"/>
                <w:sz w:val="20"/>
              </w:rPr>
              <w:t>/play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rFonts w:ascii="Consolas" w:hAnsi="Consolas"/>
                <w:sz w:val="20"/>
              </w:rPr>
              <w:t>/play-learn</w:t>
            </w:r>
            <w:r>
              <w:rPr>
                <w:sz w:val="20"/>
              </w:rPr>
              <w:t>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文章详情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rFonts w:ascii="Consolas" w:hAnsi="Consolas"/>
                <w:sz w:val="20"/>
              </w:rPr>
              <w:t>/play/{slug}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/content/{slug}</w:t>
            </w:r>
            <w:r>
              <w:rPr>
                <w:sz w:val="20"/>
              </w:rPr>
              <w:t>，读取已发布 CMS 内容和关联商品。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支持、下载、FAQ、联系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/support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/support/downloads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/support/faq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/contact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保持这些入口；文件是否可获取由服务端权限决定。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品牌和政策内容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About、Quality &amp; Safety 等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 xml:space="preserve">CMS 公共页面，例如 </w:t>
            </w:r>
            <w:r>
              <w:rPr>
                <w:rFonts w:ascii="Consolas" w:hAnsi="Consolas"/>
                <w:sz w:val="20"/>
              </w:rPr>
              <w:t>/about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/quality-safety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/privacy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/terms</w:t>
            </w:r>
            <w:r>
              <w:rPr>
                <w:sz w:val="20"/>
              </w:rPr>
              <w:t>；是否可见取决于实际发布状态。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经销商查找/申请/登录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Dealers 导航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/dealers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/dealer/apply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/dealer/login</w:t>
            </w:r>
            <w:r>
              <w:rPr>
                <w:sz w:val="20"/>
              </w:rPr>
              <w:t>；企业工作台与客户中心分开。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搜索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rFonts w:ascii="Consolas" w:hAnsi="Consolas"/>
                <w:sz w:val="20"/>
              </w:rPr>
              <w:t>/search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/search</w:t>
            </w:r>
            <w:r>
              <w:rPr>
                <w:sz w:val="20"/>
              </w:rPr>
              <w:t>，类型/关键词结果及联想由搜索接口提供。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注册/登录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原稿未固定具体路径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/customer/register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/customer/login</w:t>
            </w:r>
            <w:r>
              <w:rPr>
                <w:sz w:val="20"/>
              </w:rPr>
              <w:t>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验证邮箱/找回/重置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找回密码基础交互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/verify-email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/forgot-password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/reset-password</w:t>
            </w:r>
            <w:r>
              <w:rPr>
                <w:sz w:val="20"/>
              </w:rPr>
              <w:t>；邮件中携带有时效的一次性令牌。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用户中心/资料/地址/收藏/安全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/account</w:t>
            </w:r>
            <w:r>
              <w:rPr>
                <w:sz w:val="20"/>
              </w:rPr>
              <w:t xml:space="preserve"> 及 </w:t>
            </w:r>
            <w:r>
              <w:rPr>
                <w:rFonts w:ascii="Consolas" w:hAnsi="Consolas"/>
                <w:sz w:val="20"/>
              </w:rPr>
              <w:t>/account/profile</w:t>
            </w:r>
            <w:r>
              <w:rPr>
                <w:sz w:val="20"/>
              </w:rPr>
              <w:t xml:space="preserve"> 等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/customer/account</w:t>
            </w:r>
            <w:r>
              <w:rPr>
                <w:sz w:val="20"/>
              </w:rPr>
              <w:t xml:space="preserve"> 内的相应功能区域；API </w:t>
            </w:r>
            <w:r>
              <w:rPr>
                <w:rFonts w:ascii="Consolas" w:hAnsi="Consolas"/>
                <w:sz w:val="20"/>
              </w:rPr>
              <w:t>/account/profile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/account/addresses</w:t>
            </w:r>
            <w:r>
              <w:rPr>
                <w:sz w:val="20"/>
              </w:rPr>
              <w:t xml:space="preserve"> 等不是独立前端页面。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购物车/结算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预留 Cart 入口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/cart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/checkout</w:t>
            </w:r>
            <w:r>
              <w:rPr>
                <w:sz w:val="20"/>
              </w:rPr>
              <w:t>，游客本地购物车和登录合并。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订单/售后/单据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由交易模块提供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/orders/{id}</w:t>
            </w:r>
            <w:r>
              <w:rPr>
                <w:sz w:val="20"/>
              </w:rPr>
              <w:t>；订单列表由客户中心进入，订单详情中提供售后与鉴权单据。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Cookie 与订阅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页脚或预留入口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/cookies</w:t>
            </w:r>
            <w:r>
              <w:rPr>
                <w:sz w:val="20"/>
              </w:rPr>
              <w:t>、</w:t>
            </w:r>
            <w:r>
              <w:rPr>
                <w:rFonts w:ascii="Consolas" w:hAnsi="Consolas"/>
                <w:sz w:val="20"/>
              </w:rPr>
              <w:t>/newsletter</w:t>
            </w:r>
            <w:r>
              <w:rPr>
                <w:sz w:val="20"/>
              </w:rPr>
              <w:t xml:space="preserve"> 及客户中心营销偏好。</w:t>
            </w:r>
          </w:p>
        </w:tc>
      </w:tr>
    </w:tbl>
    <w:p>
      <w:pPr>
        <w:spacing w:after="40"/>
      </w:pPr>
    </w:p>
    <w:p>
      <w:r>
        <w:t>实际页面依据：</w:t>
      </w:r>
      <w:r>
        <w:rPr>
          <w:rFonts w:ascii="Consolas" w:hAnsi="Consolas"/>
          <w:sz w:val="18"/>
        </w:rPr>
        <w:t>apps/web/app</w:t>
      </w:r>
      <w:r>
        <w:t xml:space="preserve"> 的路由、</w:t>
      </w:r>
      <w:r>
        <w:rPr>
          <w:rFonts w:ascii="Consolas" w:hAnsi="Consolas"/>
          <w:sz w:val="18"/>
        </w:rPr>
        <w:t>apps/web/proxy.ts</w:t>
      </w:r>
      <w:r>
        <w:t>、</w:t>
      </w:r>
      <w:r>
        <w:rPr>
          <w:rFonts w:ascii="Consolas" w:hAnsi="Consolas"/>
          <w:sz w:val="18"/>
        </w:rPr>
        <w:t>customer/account/account-details.tsx</w:t>
      </w:r>
      <w:r>
        <w:t>；以上映射不是新增路由或重定向的实施说明。</w:t>
      </w:r>
    </w:p>
    <w:p>
      <w:pPr>
        <w:pStyle w:val="Heading1"/>
      </w:pPr>
      <w:r>
        <w:t>4 审核后的前台需求文本</w:t>
      </w:r>
    </w:p>
    <w:p>
      <w:pPr>
        <w:pStyle w:val="Heading2"/>
      </w:pPr>
      <w:r>
        <w:t>4 1 全站导航 首页与搜索</w:t>
      </w:r>
    </w:p>
    <w:p>
      <w:pPr>
        <w:ind w:left="198" w:hanging="142"/>
      </w:pPr>
      <w:r>
        <w:t>• Header 包含品牌、主导航、搜索、账号和购物车；滚动后收缩并保留操作。移动端使用可键盘操作的两级抽屉，客户账户与经销商登录分开。</w:t>
      </w:r>
    </w:p>
    <w:p>
      <w:pPr>
        <w:ind w:left="198" w:hanging="142"/>
      </w:pPr>
      <w:r>
        <w:t>• 公告由后台配置内容、链接、语言、市场、开始/结束时间和是否可关闭。页脚提供支持、经销商、品牌、法律、社交、订阅及备用地区/语言入口。</w:t>
      </w:r>
    </w:p>
    <w:p>
      <w:pPr>
        <w:ind w:left="198" w:hanging="142"/>
      </w:pPr>
      <w:r>
        <w:t>• 首页模块由后台维护，可调整顺序、上下线、标题、媒体、链接及集合规则。Hero 支持桌面/移动图片、视频封面、对齐和主要 CTA；真实图片、证书和品牌文字须有来源。多图轮播按第 1 节单列为成员稿交互提案。</w:t>
      </w:r>
    </w:p>
    <w:p>
      <w:pPr>
        <w:ind w:left="198" w:hanging="142"/>
      </w:pPr>
      <w:r>
        <w:t>• 商品集合可手选或按分类、新品、标签等规则生成；文章集合可按分类或手选。CTA 统计遵守同意配置，并保留模块/按钮/目标信息。</w:t>
      </w:r>
    </w:p>
    <w:p>
      <w:pPr>
        <w:ind w:left="198" w:hanging="142"/>
      </w:pPr>
      <w:r>
        <w:t>• 搜索覆盖产品、文章、FAQ、公开下载及当前实现中的分类入口，支持联想、关键词提交、结果数量/类型和无结果引导；英文词形/容错、启用中文时的分词及同义词规则由搜索层提供。草稿、非当前市场或无权限结果不得从搜索泄露。</w:t>
      </w:r>
    </w:p>
    <w:p>
      <w:pPr>
        <w:ind w:left="198" w:hanging="142"/>
      </w:pPr>
      <w:r>
        <w:t>• 语言和市场切换需重新应用商品可售范围、币种、价格和内容规则；不是任选货币符号或静态换文案。完整发布译文才公开；当前固定界面无完整字典时整页回退英文或按配置隐藏。</w:t>
      </w:r>
    </w:p>
    <w:p>
      <w:pPr>
        <w:pStyle w:val="Heading2"/>
      </w:pPr>
      <w:r>
        <w:t>4 2 产品列表 详情与比较</w:t>
      </w:r>
    </w:p>
    <w:p>
      <w:pPr>
        <w:ind w:left="198" w:hanging="142"/>
      </w:pPr>
      <w:r>
        <w:t>• 原文 PLP-001～008：卡片提供图片、名称、卖点、年龄、标签及适用价格；经销商可显示授权价格或起订提示。结构化筛选、五种排序及后台默认排序、URL 状态、分页、组合页 SEO、空结果和收藏/比较均纳入最终范围。</w:t>
      </w:r>
    </w:p>
    <w:p>
      <w:pPr>
        <w:ind w:left="198" w:hanging="142"/>
      </w:pPr>
      <w:r>
        <w:t>• 原文 PDP-001～014：包括图库/短视频、基本信息与评分开关、角色价格、变体联动、按市场和身份变化的购买/询价 CTA、卖点、规格、玩法/保养/安全、按权限资料、相关产品、FAQ、经销商采购规则、结构化数据和分享。相关/配件/替换件使用明确关联类型；评分默认关闭，只能使用真实来源数据。</w:t>
      </w:r>
    </w:p>
    <w:p>
      <w:pPr>
        <w:ind w:left="198" w:hanging="142"/>
      </w:pPr>
      <w:r>
        <w:t>• 变体切换同步 SKU、媒体、库存与价格。普通用户不能借接口获取企业价；未授权企业不能通过公开页面回退到有权限的采购状态。关闭零售时展示经销商查找/联系入口。</w:t>
      </w:r>
    </w:p>
    <w:p>
      <w:pPr>
        <w:ind w:left="198" w:hanging="142"/>
      </w:pPr>
      <w:r>
        <w:t>• 比较最多四件，展示有意义的规格、年龄、玩法、场景、包装、价格与状态差异；移动端可控滚动或切换，页面本身不横向溢出，并提供分享 URL。</w:t>
      </w:r>
    </w:p>
    <w:p>
      <w:pPr>
        <w:pStyle w:val="Heading2"/>
      </w:pPr>
      <w:r>
        <w:t>4 3 内容型页面与用户中心</w:t>
      </w:r>
    </w:p>
    <w:p>
      <w:pPr>
        <w:ind w:left="198" w:hanging="142"/>
      </w:pPr>
      <w:r>
        <w:t>• 文章支持标题、摘要、分类、标签、作者、真实发布时间/更新时间、富文本/图片/视频/CTA/商品卡/FAQ/资料及独立 SEO；详情自动显示关联商品和相关内容。</w:t>
      </w:r>
    </w:p>
    <w:p>
      <w:pPr>
        <w:ind w:left="198" w:hanging="142"/>
      </w:pPr>
      <w:r>
        <w:t>• FAQ 支持分类、关联产品、顺序、关键词与折叠展示。下载提供标题、类型、版本、语言、关联产品和发布日期，注册/经销商/内部资料按权限获取；不可见链接不等于权限保护。</w:t>
      </w:r>
    </w:p>
    <w:p>
      <w:pPr>
        <w:ind w:left="198" w:hanging="142"/>
      </w:pPr>
      <w:r>
        <w:t>• 联系表单具备必填和字段校验、反垃圾、重复提交防护、编号及提交反馈，进入实际客服工作流并通过可靠通知处理。</w:t>
      </w:r>
    </w:p>
    <w:p>
      <w:pPr>
        <w:ind w:left="198" w:hanging="142"/>
      </w:pPr>
      <w:r>
        <w:t>• 注册遵守成年人账户边界，要求隐私/条款同意，营销单独选择；邮箱验证、登录、找回及重置形成完整流程，不能只做输入框或模拟成功反馈。</w:t>
      </w:r>
    </w:p>
    <w:p>
      <w:pPr>
        <w:ind w:left="198" w:hanging="142"/>
      </w:pPr>
      <w:r>
        <w:t>• 用户中心覆盖资料、收货/账单地址及默认项、收藏和加入购物车、订单/支付/配送/单据/售后、营销偏好、改密/活跃会话/退出其他设备和数据访问/删除申请。</w:t>
      </w:r>
    </w:p>
    <w:p>
      <w:pPr>
        <w:ind w:left="198" w:hanging="142"/>
      </w:pPr>
      <w:r>
        <w:t>• 售后按订单行提交数量、原因、说明和私有图片。游客购物车可在登录后幂等合并，结算展示最终商品价、折扣、税运费和地址快照；关闭 B2C 仍提供可用的非交易入口。</w:t>
      </w:r>
    </w:p>
    <w:p>
      <w:pPr>
        <w:pStyle w:val="Heading1"/>
      </w:pPr>
      <w:r>
        <w:t>5 UI 无障碍和验收要求</w:t>
      </w:r>
    </w:p>
    <w:p>
      <w:r>
        <w:t>沿用原稿的清晰字体、统一颜色/圆角/组件、可见标签、输入错误、加载和成功反馈要求。不得把 placeholder 当作唯一标签；抽屉、弹窗、图库与表单应有可见焦点、键盘操作及适当状态反馈。主要任务包括购买流程，不限于浏览和登录。</w:t>
      </w:r>
    </w:p>
    <w:p>
      <w:pPr>
        <w:keepNext/>
      </w:pPr>
      <w:r>
        <w:t>最终验收以原文 ACC-001～010、§21.2～21.5 为准，不以 A-ACC 的局部页面检查替代：</w:t>
      </w:r>
    </w:p>
    <w:p>
      <w:r>
        <w:t>1. 运营人员通过实际后台创建/发布商品、变体、图片、文章、FAQ 和 Banner，再从公开页面验证；占位数据不能证明动态内容联调完成。</w:t>
      </w:r>
    </w:p>
    <w:p>
      <w:r>
        <w:t>2. 客户与经销商入口/价格及服务端权限分别验证；开启 B2C 时完成购物车、结算、支付结果和订单，关闭时验证非交易 CTA。</w:t>
      </w:r>
    </w:p>
    <w:p>
      <w:r>
        <w:t>3. 完整译文、整页回退/隐藏、语言 URL、hreflang、sitemap 和 noindex 一致，不混排未译正文。</w:t>
      </w:r>
    </w:p>
    <w:p>
      <w:r>
        <w:t>4. 六个宽度 360、390、768、1024、1440、1920 检查布局；最近两大版本的 Chrome/Safari/Edge/Firefox 和 iOS Safari/Android Chrome 真机分别记录，模拟测试不能代替真机结论。</w:t>
      </w:r>
    </w:p>
    <w:p>
      <w:r>
        <w:t>5. 键盘完成导航、搜索、筛选、登录、表单和购买；自动化无障碍扫描与人工抽检分别记录。图片 alt、错误说明、成功状态和焦点处理均需检查。</w:t>
      </w:r>
    </w:p>
    <w:p>
      <w:r>
        <w:t>6. 首页、产品列表、产品详情及内容页验证压缩/响应式图片、首屏优先级、缓存与发布失效；保留原文 LCP 约 2.5 秒、CLS≤0.1、INP Good 和常用只读 API P95 建议低于 500ms 等目标。实验室结果不等于真实移动网、真实用户 INP 或月度可用率。</w:t>
      </w:r>
    </w:p>
    <w:p>
      <w:r>
        <w:t>7. 真实商户、邮件送达、原站内容/素材、正式税率/合同、真机及正式环境证据按真实资源清单处理；可开发的缺陷仍须修复，不能统一改称外部依赖。</w:t>
      </w:r>
    </w:p>
    <w:p>
      <w:pPr>
        <w:pStyle w:val="Heading1"/>
      </w:pPr>
      <w:r>
        <w:t>6 原稿编号映射与证据定位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70"/>
        <w:gridCol w:w="3388"/>
        <w:gridCol w:w="3953"/>
      </w:tblGrid>
      <w:tr>
        <w:trPr>
          <w:cantSplit/>
          <w:tblHeader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成员 A 原稿编号/含义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原始规格定位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FE-001～006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FE-001～006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恢复原文完整范围；优先级表示开发顺序，不表示最终可删。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SEA-A01～06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SEA-001～007、FE-004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SEA-A</w:t>
            </w:r>
            <w:r>
              <w:rPr>
                <w:sz w:val="20"/>
              </w:rPr>
              <w:t xml:space="preserve"> 是成员补充编号，不能省略原文中文分词、同义词/容错及权限范围。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HOME-001～006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HOME-001～007、§4.2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原稿 HOME-002 是分类，而原文 HOME-002 是模块顺序；轮播不是原文硬要求。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PLP-004“分页”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PLP-005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原文 PLP-004 是 URL 状态，不可被同编号覆盖。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PLP-005“空结果”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PLP-006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原稿未完整写分类及推荐引导。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PLP-006/007“收藏/比较”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PLP-008、§4.5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原文 PLP-007 是后台控制标签。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PDP-004/005/006“卖点/规格/玩法”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PDP-006/007/008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原文 PDP-004/005 分别是变体和 CTA。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PDP-007/008“收藏/比较”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PLP-008、§4.5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不可覆盖原文 PDP-007/008 规格/玩法要求。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PDP-009“相关产品”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PDP-010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原文 PDP-009 是按权限下载资料。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USR-002/003“登录/找回”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账户认证流程、USR-009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原文 USR-002 是邮箱验证，USR-003 是个人资料。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USR-004/005/006“资料/地址/收藏”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USR-003/004/005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需补原文 USR-006 订单和 USR-007 售后。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USR-007“安全”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USR-009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另补 USR-008 订阅及 USR-010 删除申请。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A-ACC-001～012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局部前端验收清单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保留作为成员检查项，不能替代全项目 ACC 或真实设备/安全/性能验收。</w:t>
            </w:r>
          </w:p>
        </w:tc>
      </w:tr>
    </w:tbl>
    <w:p>
      <w:pPr>
        <w:spacing w:after="40"/>
      </w:pPr>
    </w:p>
    <w:p>
      <w:pPr>
        <w:keepNext/>
      </w:pPr>
      <w:r>
        <w:t>实现定位供审核者复核，不据此推断个人独立完成量：</w:t>
      </w:r>
    </w:p>
    <w:p>
      <w:pPr>
        <w:ind w:left="198" w:hanging="142"/>
      </w:pPr>
      <w:r>
        <w:t>• 导航/Home/CMS：</w:t>
      </w:r>
      <w:r>
        <w:rPr>
          <w:rFonts w:ascii="Consolas" w:hAnsi="Consolas"/>
          <w:sz w:val="18"/>
        </w:rPr>
        <w:t>apps/web/components/site-header.tsx</w:t>
      </w:r>
      <w:r>
        <w:t>、</w:t>
      </w:r>
      <w:r>
        <w:rPr>
          <w:rFonts w:ascii="Consolas" w:hAnsi="Consolas"/>
          <w:sz w:val="18"/>
        </w:rPr>
        <w:t>site-navigation.tsx</w:t>
      </w:r>
      <w:r>
        <w:t>、</w:t>
      </w:r>
      <w:r>
        <w:rPr>
          <w:rFonts w:ascii="Consolas" w:hAnsi="Consolas"/>
          <w:sz w:val="18"/>
        </w:rPr>
        <w:t>content-blocks.tsx</w:t>
      </w:r>
      <w:r>
        <w:t>、</w:t>
      </w:r>
      <w:r>
        <w:rPr>
          <w:rFonts w:ascii="Consolas" w:hAnsi="Consolas"/>
          <w:sz w:val="18"/>
        </w:rPr>
        <w:t>content-collection.tsx</w:t>
      </w:r>
      <w:r>
        <w:t>、</w:t>
      </w:r>
      <w:r>
        <w:rPr>
          <w:rFonts w:ascii="Consolas" w:hAnsi="Consolas"/>
          <w:sz w:val="18"/>
        </w:rPr>
        <w:t>apps/web/app/admin/cms/cms-workbench.tsx</w:t>
      </w:r>
      <w:r>
        <w:t>。</w:t>
      </w:r>
    </w:p>
    <w:p>
      <w:pPr>
        <w:ind w:left="198" w:hanging="142"/>
      </w:pPr>
      <w:r>
        <w:t>• 商品：</w:t>
      </w:r>
      <w:r>
        <w:rPr>
          <w:rFonts w:ascii="Consolas" w:hAnsi="Consolas"/>
          <w:sz w:val="18"/>
        </w:rPr>
        <w:t>apps/web/app/(storefront)/products</w:t>
      </w:r>
      <w:r>
        <w:t>、</w:t>
      </w:r>
      <w:r>
        <w:rPr>
          <w:rFonts w:ascii="Consolas" w:hAnsi="Consolas"/>
          <w:sz w:val="18"/>
        </w:rPr>
        <w:t>compare</w:t>
      </w:r>
      <w:r>
        <w:t>，</w:t>
      </w:r>
      <w:r>
        <w:rPr>
          <w:rFonts w:ascii="Consolas" w:hAnsi="Consolas"/>
          <w:sz w:val="18"/>
        </w:rPr>
        <w:t>apps/api/src/catalog</w:t>
      </w:r>
      <w:r>
        <w:t>，</w:t>
      </w:r>
      <w:r>
        <w:rPr>
          <w:rFonts w:ascii="Consolas" w:hAnsi="Consolas"/>
          <w:sz w:val="18"/>
        </w:rPr>
        <w:t>apps/web/components/dealer-product-purchase.tsx</w:t>
      </w:r>
      <w:r>
        <w:t>、</w:t>
      </w:r>
      <w:r>
        <w:rPr>
          <w:rFonts w:ascii="Consolas" w:hAnsi="Consolas"/>
          <w:sz w:val="18"/>
        </w:rPr>
        <w:t>product-downloads.tsx</w:t>
      </w:r>
      <w:r>
        <w:t>。</w:t>
      </w:r>
    </w:p>
    <w:p>
      <w:pPr>
        <w:ind w:left="198" w:hanging="142"/>
      </w:pPr>
      <w:r>
        <w:t>• 搜索/语言：</w:t>
      </w:r>
      <w:r>
        <w:rPr>
          <w:rFonts w:ascii="Consolas" w:hAnsi="Consolas"/>
          <w:sz w:val="18"/>
        </w:rPr>
        <w:t>apps/api/src/platform/platform.service.ts</w:t>
      </w:r>
      <w:r>
        <w:t>、</w:t>
      </w:r>
      <w:r>
        <w:rPr>
          <w:rFonts w:ascii="Consolas" w:hAnsi="Consolas"/>
          <w:sz w:val="18"/>
        </w:rPr>
        <w:t>search-query.ts</w:t>
      </w:r>
      <w:r>
        <w:t>、</w:t>
      </w:r>
      <w:r>
        <w:rPr>
          <w:rFonts w:ascii="Consolas" w:hAnsi="Consolas"/>
          <w:sz w:val="18"/>
        </w:rPr>
        <w:t>apps/web/proxy.ts</w:t>
      </w:r>
      <w:r>
        <w:t>、</w:t>
      </w:r>
      <w:r>
        <w:rPr>
          <w:rFonts w:ascii="Consolas" w:hAnsi="Consolas"/>
          <w:sz w:val="18"/>
        </w:rPr>
        <w:t>apps/api/src/catalog/product-locales.ts</w:t>
      </w:r>
      <w:r>
        <w:t>。</w:t>
      </w:r>
    </w:p>
    <w:p>
      <w:pPr>
        <w:ind w:left="198" w:hanging="142"/>
      </w:pPr>
      <w:r>
        <w:t>• 客户与交易：</w:t>
      </w:r>
      <w:r>
        <w:rPr>
          <w:rFonts w:ascii="Consolas" w:hAnsi="Consolas"/>
          <w:sz w:val="18"/>
        </w:rPr>
        <w:t>apps/web/app/customer/account</w:t>
      </w:r>
      <w:r>
        <w:t>、</w:t>
      </w:r>
      <w:r>
        <w:rPr>
          <w:rFonts w:ascii="Consolas" w:hAnsi="Consolas"/>
          <w:sz w:val="18"/>
        </w:rPr>
        <w:t>apps/web/app/(storefront)/cart</w:t>
      </w:r>
      <w:r>
        <w:t>、</w:t>
      </w:r>
      <w:r>
        <w:rPr>
          <w:rFonts w:ascii="Consolas" w:hAnsi="Consolas"/>
          <w:sz w:val="18"/>
        </w:rPr>
        <w:t>checkout</w:t>
      </w:r>
      <w:r>
        <w:t>、</w:t>
      </w:r>
      <w:r>
        <w:rPr>
          <w:rFonts w:ascii="Consolas" w:hAnsi="Consolas"/>
          <w:sz w:val="18"/>
        </w:rPr>
        <w:t>orders</w:t>
      </w:r>
      <w:r>
        <w:t>，</w:t>
      </w:r>
      <w:r>
        <w:rPr>
          <w:rFonts w:ascii="Consolas" w:hAnsi="Consolas"/>
          <w:sz w:val="18"/>
        </w:rPr>
        <w:t>apps/api/src/account</w:t>
      </w:r>
      <w:r>
        <w:t>、</w:t>
      </w:r>
      <w:r>
        <w:rPr>
          <w:rFonts w:ascii="Consolas" w:hAnsi="Consolas"/>
          <w:sz w:val="18"/>
        </w:rPr>
        <w:t>apps/api/src/order</w:t>
      </w:r>
      <w:r>
        <w:t>。</w:t>
      </w:r>
    </w:p>
    <w:p>
      <w:pPr>
        <w:ind w:left="198" w:hanging="142"/>
      </w:pPr>
      <w:r>
        <w:t>• 现有证据：</w:t>
      </w:r>
      <w:hyperlink r:id="rId10">
        <w:r>
          <w:rPr>
            <w:color w:val="245578"/>
          </w:rPr>
          <w:t>最终矩阵</w:t>
        </w:r>
      </w:hyperlink>
      <w:r>
        <w:t>、</w:t>
      </w:r>
      <w:hyperlink r:id="rId15">
        <w:r>
          <w:rPr>
            <w:color w:val="245578"/>
          </w:rPr>
          <w:t>零售实施记录</w:t>
        </w:r>
      </w:hyperlink>
      <w:r>
        <w:t>、</w:t>
      </w:r>
      <w:hyperlink r:id="rId16">
        <w:r>
          <w:rPr>
            <w:color w:val="245578"/>
          </w:rPr>
          <w:t>私有售后照片记录</w:t>
        </w:r>
      </w:hyperlink>
      <w:r>
        <w:t>。这些证据分别对应其记录的提交和测试范围，不用于推算个人工作量。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307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307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07" w:lineRule="auto" w:after="120"/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ganwentao20/wemove-sports-portal/blob/feature/b2b-takeover/docs/plans/final-requirements-verification-20260907.md" TargetMode="External"/><Relationship Id="rId11" Type="http://schemas.openxmlformats.org/officeDocument/2006/relationships/hyperlink" Target="https://github.com/ganwentao20/wemove-sports-portal/blob/feature/b2b-takeover/docs/test-report.md" TargetMode="External"/><Relationship Id="rId12" Type="http://schemas.openxmlformats.org/officeDocument/2006/relationships/hyperlink" Target="https://github.com/ganwentao20/wemove-sports-portal/blob/feature/b2b-takeover/docs/plans/external-acceptance-prerequisites.md" TargetMode="External"/><Relationship Id="rId13" Type="http://schemas.openxmlformats.org/officeDocument/2006/relationships/hyperlink" Target="https://github.com/ganwentao20/wemove-sports-portal/blob/feature/b2b-takeover/docs/plans/workload-current.md" TargetMode="External"/><Relationship Id="rId14" Type="http://schemas.openxmlformats.org/officeDocument/2006/relationships/hyperlink" Target="https://github.com/ganwentao20/wemove-sports-portal/blob/feature/b2b-takeover/docs/meetings/2026-09-04-meeting-01.md" TargetMode="External"/><Relationship Id="rId15" Type="http://schemas.openxmlformats.org/officeDocument/2006/relationships/hyperlink" Target="https://github.com/ganwentao20/wemove-sports-portal/blob/feature/b2b-takeover/docs/commerce/retail-completion-20260907.md" TargetMode="External"/><Relationship Id="rId16" Type="http://schemas.openxmlformats.org/officeDocument/2006/relationships/hyperlink" Target="https://github.com/ganwentao20/wemove-sports-portal/blob/feature/b2b-takeover/docs/commerce/return-evidence-20260908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成员 A 需求分析审核稿</dc:title>
  <dc:subject/>
  <dc:creator>陈婧琳 原稿 WEMOVE 团队审核</dc:creator>
  <cp:keywords/>
  <dc:description>generated by python-docx</dc:description>
  <cp:lastModifiedBy>WEMOVE 团队文档审核归档</cp:lastModifiedBy>
  <cp:revision>1</cp:revision>
  <dcterms:created xsi:type="dcterms:W3CDTF">2013-12-23T23:15:00Z</dcterms:created>
  <dcterms:modified xsi:type="dcterms:W3CDTF">2013-12-23T23:15:00Z</dcterms:modified>
  <cp:category/>
</cp:coreProperties>
</file>