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br/>
        <w:br/>
      </w:r>
      <w:r>
        <w:rPr>
          <w:rFonts w:ascii="Aptos" w:hAnsi="Aptos" w:eastAsia="等线"/>
          <w:b/>
          <w:color w:val="000000"/>
          <w:sz w:val="20"/>
        </w:rPr>
        <w:t>COURSE PROJECT  ·  GROUP 08</w:t>
      </w:r>
    </w:p>
    <w:p>
      <w:pPr>
        <w:pStyle w:val="Title"/>
        <w:spacing w:before="360" w:after="200"/>
      </w:pPr>
      <w:r>
        <w:t>WEMOVE</w:t>
        <w:br/>
        <w:t>原网站与业务门户重构</w:t>
      </w:r>
    </w:p>
    <w:p>
      <w:pPr>
        <w:spacing w:after="480"/>
      </w:pPr>
      <w:r>
        <w:rPr>
          <w:rFonts w:ascii="Aptos" w:hAnsi="Aptos" w:eastAsia="等线"/>
          <w:color w:val="000000"/>
          <w:sz w:val="28"/>
        </w:rPr>
        <w:t>项目需求文档  ·  Requirements Specification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701"/>
            <w:shd w:fill="E8F4F4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rPr>
                <w:rFonts w:ascii="Aptos" w:hAnsi="Aptos" w:eastAsia="等线"/>
                <w:b/>
                <w:color w:val="000000"/>
                <w:sz w:val="18"/>
              </w:rPr>
              <w:t>课程</w:t>
            </w:r>
          </w:p>
        </w:tc>
        <w:tc>
          <w:tcPr>
            <w:tcW w:type="dxa" w:w="7370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rPr>
                <w:rFonts w:ascii="Aptos" w:hAnsi="Aptos" w:eastAsia="等线"/>
                <w:color w:val="000000"/>
                <w:sz w:val="19"/>
              </w:rPr>
              <w:t>软件开发实践2</w:t>
            </w:r>
          </w:p>
        </w:tc>
      </w:tr>
      <w:tr>
        <w:tc>
          <w:tcPr>
            <w:tcW w:type="dxa" w:w="1701"/>
            <w:shd w:fill="E8F4F4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rPr>
                <w:rFonts w:ascii="Aptos" w:hAnsi="Aptos" w:eastAsia="等线"/>
                <w:b/>
                <w:color w:val="000000"/>
                <w:sz w:val="18"/>
              </w:rPr>
              <w:t>组别</w:t>
            </w:r>
          </w:p>
        </w:tc>
        <w:tc>
          <w:tcPr>
            <w:tcW w:type="dxa" w:w="7370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rPr>
                <w:rFonts w:ascii="Aptos" w:hAnsi="Aptos" w:eastAsia="等线"/>
                <w:color w:val="000000"/>
                <w:sz w:val="19"/>
              </w:rPr>
              <w:t>下午班 · 第 8 组</w:t>
            </w:r>
          </w:p>
        </w:tc>
      </w:tr>
      <w:tr>
        <w:tc>
          <w:tcPr>
            <w:tcW w:type="dxa" w:w="1701"/>
            <w:shd w:fill="E8F4F4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rPr>
                <w:rFonts w:ascii="Aptos" w:hAnsi="Aptos" w:eastAsia="等线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7370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rPr>
                <w:rFonts w:ascii="Aptos" w:hAnsi="Aptos" w:eastAsia="等线"/>
                <w:color w:val="000000"/>
                <w:sz w:val="19"/>
              </w:rPr>
              <w:t>v0.7 · 2026-09-08</w:t>
            </w:r>
          </w:p>
        </w:tc>
      </w:tr>
      <w:tr>
        <w:tc>
          <w:tcPr>
            <w:tcW w:type="dxa" w:w="1701"/>
            <w:shd w:fill="E8F4F4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rPr>
                <w:rFonts w:ascii="Aptos" w:hAnsi="Aptos" w:eastAsia="等线"/>
                <w:b/>
                <w:color w:val="000000"/>
                <w:sz w:val="18"/>
              </w:rPr>
              <w:t>成员</w:t>
            </w:r>
          </w:p>
        </w:tc>
        <w:tc>
          <w:tcPr>
            <w:tcW w:type="dxa" w:w="7370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rPr>
                <w:rFonts w:ascii="Aptos" w:hAnsi="Aptos" w:eastAsia="等线"/>
                <w:color w:val="000000"/>
                <w:sz w:val="19"/>
              </w:rPr>
              <w:t>甘文韬（组长） · 陈婧琳 · 周慧莹 · 倪依玲 · 龙祖怡</w:t>
            </w:r>
          </w:p>
        </w:tc>
      </w:tr>
    </w:tbl>
    <w:p>
      <w:pPr>
        <w:spacing w:before="600" w:after="0"/>
      </w:pPr>
      <w:r>
        <w:rPr>
          <w:rFonts w:ascii="Aptos" w:hAnsi="Aptos" w:eastAsia="等线"/>
          <w:b/>
          <w:color w:val="000000"/>
          <w:sz w:val="20"/>
        </w:rPr>
        <w:t>文档定位</w:t>
      </w:r>
    </w:p>
    <w:p>
      <w:pPr>
        <w:ind w:left="283"/>
      </w:pPr>
      <w:r>
        <w:t>本文件以课程可验收范围为主线，并把长期产品愿景明确标为 P1/P2；实现状态只以代码、CI、演示和测试证据判定。</w:t>
      </w:r>
    </w:p>
    <w:p>
      <w:r>
        <w:br w:type="page"/>
      </w:r>
    </w:p>
    <w:p>
      <w:pPr>
        <w:pStyle w:val="Heading2"/>
      </w:pPr>
      <w:r>
        <w:t>1. 文档控制</w:t>
      </w:r>
    </w:p>
    <w:p>
      <w:pPr>
        <w:pStyle w:val="Heading3"/>
      </w:pPr>
      <w:r>
        <w:t>1.1 项目成员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 w:val="true"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姓名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主要责任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组长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甘文韬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架构基座、认证/RBAC/审计安全、文档统筹、汇报主讲；兼任 B2B 申请审批、授权目录、Quick Order、RFQ/PO 与流程规范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A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陈婧琳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品牌官网、响应式商品展示、B2C 用户中心、例会纪要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C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周慧莹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商品/SKU、库存、定价、购物车与订单、数据字典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D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倪依玲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Admin UI、CMS、媒体、工单、SEO、操作手册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E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龙祖怡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Docker/CI、测试、压测与测试报告</w:t>
            </w:r>
          </w:p>
        </w:tc>
      </w:tr>
    </w:tbl>
    <w:p>
      <w:pPr>
        <w:spacing w:after="20"/>
      </w:pPr>
    </w:p>
    <w:p>
      <w:pPr>
        <w:pStyle w:val="Heading3"/>
      </w:pPr>
      <w:r>
        <w:t>1.2 编写依据与边界</w:t>
      </w:r>
    </w:p>
    <w:p>
      <w:pPr>
        <w:ind w:firstLine="420"/>
      </w:pPr>
      <w:r>
        <w:t>本文件综合《软件开发实践2》考核材料、《网站重构需求》、111.docx、不建议范例及现仓库实现形成。材料中的内容是需求来源和参考，不自动等同于已实现事实，也不替代本组决策。课程要求重点是功能需求、过程材料、可复核测试与团队贡献；因此本文件把长期产品愿景和本期可验收基线分开。</w:t>
      </w:r>
    </w:p>
    <w:p>
      <w:pPr>
        <w:ind w:firstLine="420"/>
      </w:pPr>
      <w:r>
        <w:t>现网站 http://www.wemovetoy.com 于 2026-09-08 可访问，页面标题为“惟木匠心”。本次重构以原网站为视觉和信息架构基线：保留 WEMOVE 标识、原木留白风格、首页交错图文结构、原站栏目和原站图片，只做克制的响应式与可用性升级。用户已明确要求沿用原站图片，不另行生成替代主视觉。生产切换前仍须核对素材授权、HTTPS 证书、重定向和混合内容。</w:t>
      </w:r>
    </w:p>
    <w:p>
      <w:pPr>
        <w:pStyle w:val="Heading2"/>
      </w:pPr>
      <w:r>
        <w:t>2. 项目目标</w:t>
      </w:r>
    </w:p>
    <w:p>
      <w:pPr>
        <w:ind w:firstLine="420"/>
      </w:pPr>
      <w:r>
        <w:t>在不另起一套前端的前提下，把现有 WEMOVE 展示型网站完善为可持续运营、移动端友好、可扩展的原木滚珠轨道与木作品牌网站。系统复用现有单仓多应用架构及后端能力，提供公共品牌官网、注册用户中心、经销商门户和运营管理后台。</w:t>
      </w:r>
    </w:p>
    <w:p>
      <w:pPr>
        <w:ind w:firstLine="420"/>
      </w:pPr>
      <w:r>
        <w:t>前端实施原则：原网站页面和素材是主线，不以通用“运动玩具商城”模板替换；新功能应接入原站栏目、版式与视觉语言。后台已有的商品、CMS、账户、交易、经销商、媒体、SEO、通知与审计能力应优先复用，只有现有能力确实缺失时才新增实现。</w:t>
      </w:r>
    </w:p>
    <w:p>
      <w:pPr>
        <w:ind w:firstLine="420"/>
      </w:pPr>
      <w:r>
        <w:t>本期课程验收目标：</w:t>
      </w:r>
    </w:p>
    <w:p>
      <w:pPr>
        <w:ind w:left="369" w:hanging="170"/>
      </w:pPr>
      <w:r>
        <w:t>1.  提供可运行、可构建、可测试的完整四门户系统，统一 API、数据模型和权限边界。</w:t>
      </w:r>
    </w:p>
    <w:p>
      <w:pPr>
        <w:ind w:left="369" w:hanging="170"/>
      </w:pPr>
      <w:r>
        <w:t>2.  打通公开浏览、消费者结算与售后、经销商询报价与采购、后台运营的完整演示链路。</w:t>
      </w:r>
    </w:p>
    <w:p>
      <w:pPr>
        <w:ind w:left="369" w:hanging="170"/>
      </w:pPr>
      <w:r>
        <w:t>3.  用自动化测试证明认证、RBAC、企业隔离、定价优先级和错误响应等关键规则。</w:t>
      </w:r>
    </w:p>
    <w:p>
      <w:pPr>
        <w:ind w:left="369" w:hanging="170"/>
      </w:pPr>
      <w:r>
        <w:t>4.  形成需求、计划、例会、测试、操作说明、工作量证据和汇报材料的闭环。</w:t>
      </w:r>
    </w:p>
    <w:p>
      <w:pPr>
        <w:pStyle w:val="Heading2"/>
      </w:pPr>
      <w:r>
        <w:t>3. 范围与优先级</w:t>
      </w:r>
    </w:p>
    <w:p>
      <w:pPr>
        <w:ind w:firstLine="420"/>
      </w:pPr>
      <w:r>
        <w:t>优先级保留最初排期：P0 为核心，P1 为扩展。本轮依组长要求将代码侧功能补齐，P1 也纳入交付；P2 只保留必须依赖正式商户、生产数据或外部资源的上线工作，不将已实现的 CMS、多语或支付适配器写成未开发。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 w:val="true"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本期级别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品牌首页、分类/列表/详情、搜索、联系与支持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P0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响应式展示；核心页面可演示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成人注册、邮箱验证、登录、找回密码、个人资料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P0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用户与员工账号物理隔离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经销商申请、审核、企业成员与采购门户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P0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申请—审核—授权访问—询报价—采购—履约售后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后台员工、RBAC、MFA、审计、基础商品/内容管理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P0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敏感操作服务端鉴权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SKU、价目表、阶梯价、企业专属价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P0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价格优先级需有单测证明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购物车、订单、库存事务、Quick Order、RFQ/PO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P1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本轮已纳入完整链路验收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支付/退款、分批履约、售后及单据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P1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DEMO/HTTP 适配与状态补偿已实现；真实商户、物流和 ERP 协议另需正式联调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多语言、CMS 工作流与 SEO 配置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P1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排程、翻译、模块与导航、sitemap 和重定向已实现；正式 CDN/旧站全量迁移属上线条件</w:t>
            </w:r>
          </w:p>
        </w:tc>
      </w:tr>
    </w:tbl>
    <w:p>
      <w:pPr>
        <w:spacing w:after="20"/>
      </w:pPr>
    </w:p>
    <w:p>
      <w:pPr>
        <w:ind w:firstLine="420"/>
      </w:pPr>
      <w:r>
        <w:t>明确不在本期范围：儿童账户、面向儿童收集个人信息、真实支付结算、真实客户数据导入、生产域名切换和第三方 ERP 的正式联调。</w:t>
      </w:r>
    </w:p>
    <w:p>
      <w:pPr>
        <w:pStyle w:val="Heading2"/>
      </w:pPr>
      <w:r>
        <w:t>4. 用户与权限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 w:val="true"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用户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能力摘要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数据边界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访客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浏览公开内容、搜索、提交联系/经销商申请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仅公开数据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注册客户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管理本人资料、地址、收藏、订单及售后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仅本人数据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经销商成员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查看授权目录/价格、提交企业业务单据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仅所属 companyId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后台员工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按角色权限管理业务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权限码 + 服务层校验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超级管理员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员工、角色、权限及审计管理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敏感操作需 MFA/审计</w:t>
            </w:r>
          </w:p>
        </w:tc>
      </w:tr>
    </w:tbl>
    <w:p>
      <w:pPr>
        <w:spacing w:after="20"/>
      </w:pPr>
    </w:p>
    <w:p>
      <w:pPr>
        <w:ind w:firstLine="420"/>
      </w:pPr>
      <w:r>
        <w:t>授权原则：默认拒绝、最小权限、服务端裁决。前端隐藏菜单不能代替鉴权；经销商价格不得出现在访客或零售用户响应中；员工 JWT 不能当作客户 JWT 使用，反之亦然。</w:t>
      </w:r>
    </w:p>
    <w:p>
      <w:pPr>
        <w:pStyle w:val="Heading2"/>
      </w:pPr>
      <w:r>
        <w:t>5. 功能需求与验收标准</w:t>
      </w:r>
    </w:p>
    <w:p>
      <w:pPr>
        <w:pStyle w:val="Heading3"/>
      </w:pPr>
      <w:r>
        <w:t>5.1 公共品牌官网（A）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rPr>
          <w:cantSplit/>
          <w:tblHeader w:val="true"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可验收标准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WEB-01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P0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首页展示品牌、主推产品与关键入口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桌面/手机均无横向溢出；核心链接可达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WEB-02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P0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商品列表支持分类浏览与基础筛选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URL 可表达查询；无结果有明确空态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WEB-03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P0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商品详情展示图片、规格、适龄提示和资料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无效 slug 返回 404；不暴露经销商价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WEB-04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P0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提供站内搜索、支持和联系入口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表单有前后端校验及成功/失败反馈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WEB-05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P1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产品对比、Play &amp; Learn 内容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移动端使用纵向/卡片布局</w:t>
            </w:r>
          </w:p>
        </w:tc>
      </w:tr>
    </w:tbl>
    <w:p>
      <w:pPr>
        <w:spacing w:after="20"/>
      </w:pPr>
    </w:p>
    <w:p>
      <w:pPr>
        <w:pStyle w:val="Heading3"/>
      </w:pPr>
      <w:r>
        <w:t>5.2 客户认证与账户（组长/A）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rPr>
          <w:cantSplit/>
          <w:tblHeader w:val="true"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可验收标准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AUTH-01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P0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仅成年人可注册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未确认 18+ 时服务端拒绝；邮箱规范化且唯一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AUTH-02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P0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支持邮箱验证与重发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令牌库中只存哈希、一次性且有过期时间；响应防邮箱枚举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AUTH-03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P0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统一登录、当前用户与登出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/login 按账号身份分流；错误提示一致；JWT 有唯一标识；登出撤销旧会话，下一请求拒绝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AUTH-04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P0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登录失败限流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同邮箱第 5 次失败进入 15 分钟锁定；锁定期间正确密码也不能绕过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AUTH-05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P0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忘记/重置密码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不泄露邮箱是否存在；令牌一次性；停用用户不能重置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AUTH-06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P1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个人资料、地址簿、收藏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用户只能读写本人记录</w:t>
            </w:r>
          </w:p>
        </w:tc>
      </w:tr>
    </w:tbl>
    <w:p>
      <w:pPr>
        <w:spacing w:after="20"/>
      </w:pPr>
    </w:p>
    <w:p>
      <w:pPr>
        <w:ind w:firstLine="420"/>
      </w:pPr>
      <w:r>
        <w:t>认证入口统一为 /login：消费者进入账户中心，经销商进入企业目录（必要时先完成条款或 MFA），员工完成 MFA 后进入后台。公开页头、页脚和移动导航只展示同一个“登录/账号”入口；原 /customer/login、/dealer/login、/admin/login 仅作为兼容地址跳转至 /login。用户与员工分表、服务端权限隔离保持不变，next 只接受当前身份允许的站内路径，切换身份清理当前浏览器旧身份登录凭据。</w:t>
      </w:r>
    </w:p>
    <w:p>
      <w:pPr>
        <w:pStyle w:val="Heading3"/>
      </w:pPr>
      <w:r>
        <w:t>5.3 经销商门户（甘文韬，M1/MB）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rPr>
          <w:cantSplit/>
          <w:tblHeader w:val="true"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可验收标准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DLR-01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P0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访客提交经销商申请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必填字段、文件类型/大小校验；生成待审核记录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DLR-02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P0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后台审核申请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批准/拒绝有权限校验、原因和审计记录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DLR-03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P0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经销商成员访问企业门户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未批准企业或跨 companyId 请求返回 403/404 语义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DLR-04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P1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Quick Order 批量录入 SKU 与数量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对不存在/未授权 SKU 给出逐行错误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DLR-06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P0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价格表企业授权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后台 MFA 授权/撤权；目录与 Quick Order 只命中本企业已授权价目表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DLR-05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P1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RFQ、报价和 PO 状态流转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报价版本不可变，仅接受最新有效报价；转 PO 幂等；收货/金额/商品快照，库存事务与企业角色隔离</w:t>
            </w:r>
          </w:p>
        </w:tc>
      </w:tr>
    </w:tbl>
    <w:p>
      <w:pPr>
        <w:spacing w:after="20"/>
      </w:pPr>
    </w:p>
    <w:p>
      <w:pPr>
        <w:pStyle w:val="Heading3"/>
      </w:pPr>
      <w:r>
        <w:t>5.4 商品、价格、库存与订单（C）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rPr>
          <w:cantSplit/>
          <w:tblHeader w:val="true"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可验收标准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CAT-01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P0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商品、变体/SKU、分类基础模型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SKU 唯一；公开接口只返回上架且可见数据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PRICE-01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P0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零售价与经销商价隔离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零售只取 MSRP/Sale；B2B 返回需已登录且获授权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PRICE-02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P0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多层价格优先级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企业专属价 &gt; 价格表 &gt; 经销商等级价 &gt; B2B 默认价；单测覆盖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ORDER-01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P1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购物车与结算快照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金额使用整数分；下单保留价格快照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STOCK-01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P1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库存扣减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事务加锁防超卖；实物出库不能超库存，显式配置的预订/缺货订购按上限处理可用量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ORDER-02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P1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订单状态机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非法转换拒绝；关键操作审计</w:t>
            </w:r>
          </w:p>
        </w:tc>
      </w:tr>
    </w:tbl>
    <w:p>
      <w:pPr>
        <w:spacing w:after="20"/>
      </w:pPr>
    </w:p>
    <w:p>
      <w:pPr>
        <w:pStyle w:val="Heading3"/>
      </w:pPr>
      <w:r>
        <w:t>5.5 运营管理后台（D/组长）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rPr>
          <w:cantSplit/>
          <w:tblHeader w:val="true"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可验收标准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ADM-01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P0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员工、角色、权限管理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Staff 与 User 分表；未知权限码拒绝；禁止自停用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ADM-02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P0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后台 MFA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TOTP 启停需密码/动态码；连续 5 次错误锁定；成功不计失败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ADM-03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P0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审计查询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记录主体、动作、实体、前后值、IP、时间；不可从业务界面修改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ADM-04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P1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商品、CMS、媒体、联系工单 UI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保存有校验和结果反馈；危险操作二次确认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ADM-05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P1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SEO 基础配置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标题/描述、robots、sitemap 与 301 规则可验证</w:t>
            </w:r>
          </w:p>
        </w:tc>
      </w:tr>
    </w:tbl>
    <w:p>
      <w:pPr>
        <w:spacing w:after="20"/>
      </w:pPr>
    </w:p>
    <w:p>
      <w:pPr>
        <w:pStyle w:val="Heading3"/>
      </w:pPr>
      <w:r>
        <w:t>5.6 工程与测试（E/全员）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rPr>
          <w:cantSplit/>
          <w:tblHeader w:val="true"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可验收标准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OPS-01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P0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一键本地基础设施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Compose 启动 PostgreSQL、Redis、Mailpit，健康检查通过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OPS-02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P0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CI 质量门禁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PR 对 main 自动执行安装、Prisma、lint、单测、迁移、e2e、构建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OPS-03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P0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统一错误与追踪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成功/失败使用统一 envelope；安全 trace-id 贯穿响应和日志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TEST-01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P0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功能、安全、兼容与性能测试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报告包含环境、用例、证据、缺陷、复测结论；与 CI 结果一致</w:t>
            </w:r>
          </w:p>
        </w:tc>
      </w:tr>
    </w:tbl>
    <w:p>
      <w:pPr>
        <w:spacing w:after="20"/>
      </w:pPr>
    </w:p>
    <w:p>
      <w:pPr>
        <w:pStyle w:val="Heading2"/>
      </w:pPr>
      <w:r>
        <w:t>6. 非功能需求</w:t>
      </w:r>
    </w:p>
    <w:p>
      <w:pPr>
        <w:pStyle w:val="Heading3"/>
      </w:pPr>
      <w:r>
        <w:t>6.1 安全与隐私</w:t>
      </w:r>
    </w:p>
    <w:p>
      <w:pPr>
        <w:ind w:left="369" w:hanging="170"/>
      </w:pPr>
      <w:r>
        <w:t>1.  密码使用 bcrypt cost 12；生产 JWT 密钥至少 32 字符且不得使用开发默认值。</w:t>
      </w:r>
    </w:p>
    <w:p>
      <w:pPr>
        <w:ind w:left="369" w:hanging="170"/>
      </w:pPr>
      <w:r>
        <w:t>2.  生产启动必须显式配置 PostgreSQL、Redis、SMTP 和 HTTPS 基础地址；内部异常不得回传客户端。</w:t>
      </w:r>
    </w:p>
    <w:p>
      <w:pPr>
        <w:ind w:left="369" w:hanging="170"/>
      </w:pPr>
      <w:r>
        <w:t>3.  DTO 使用白名单验证；文件上传限制 MIME、扩展名、大小及存储路径；富文本需清洗。</w:t>
      </w:r>
    </w:p>
    <w:p>
      <w:pPr>
        <w:ind w:left="369" w:hanging="170"/>
      </w:pPr>
      <w:r>
        <w:t>4.  邮箱验证/重置令牌只存 SHA-256 哈希并一次性消费；日志不得记录密码、令牌、MFA 密钥或完整环境文件。</w:t>
      </w:r>
    </w:p>
    <w:p>
      <w:pPr>
        <w:ind w:left="369" w:hanging="170"/>
      </w:pPr>
      <w:r>
        <w:t>5.  生产必须启用 HTTPS、安全 Cookie/CORS 策略、备份和最小权限数据库账户。</w:t>
      </w:r>
    </w:p>
    <w:p>
      <w:pPr>
        <w:pStyle w:val="Heading3"/>
      </w:pPr>
      <w:r>
        <w:t>6.2 性能、可用性与兼容性</w:t>
      </w:r>
    </w:p>
    <w:p>
      <w:pPr>
        <w:ind w:left="369" w:hanging="170"/>
      </w:pPr>
      <w:r>
        <w:t>1.  关键页面目标首屏 2.5 秒内；以统一网络/设备条件记录 Lighthouse 或等价证据。</w:t>
      </w:r>
    </w:p>
    <w:p>
      <w:pPr>
        <w:ind w:left="369" w:hanging="170"/>
      </w:pPr>
      <w:r>
        <w:t>2.  目标支持 100 并发稳定访问；测试报告必须写清脚本、持续时间、P95、错误率和资源条件。</w:t>
      </w:r>
    </w:p>
    <w:p>
      <w:pPr>
        <w:ind w:left="369" w:hanging="170"/>
      </w:pPr>
      <w:r>
        <w:t>3.  支持当前主流 Chrome、Edge、Safari 及常见手机宽度；所有表格在窄屏不得撑破视口。</w:t>
      </w:r>
    </w:p>
    <w:p>
      <w:pPr>
        <w:ind w:left="369" w:hanging="170"/>
      </w:pPr>
      <w:r>
        <w:t>4.  /health/live 仅用于进程存活探测；/health/ready 同时检查 PostgreSQL 与 Redis，任一依赖不可用时必须返回 HTTP 503。</w:t>
      </w:r>
    </w:p>
    <w:p>
      <w:pPr>
        <w:pStyle w:val="Heading3"/>
      </w:pPr>
      <w:r>
        <w:t>6.3 可维护性</w:t>
      </w:r>
    </w:p>
    <w:p>
      <w:pPr>
        <w:ind w:firstLine="420"/>
      </w:pPr>
      <w:r>
        <w:t>采用 npm workspaces、TypeScript 严格模式、ESM 后端、Prisma 迁移和 Conventional Commits。共享契约集中维护，Schema 变更须随迁移提交；PR 至少一人评审且 CI 通过后合并。</w:t>
      </w:r>
    </w:p>
    <w:p>
      <w:pPr>
        <w:pStyle w:val="Heading2"/>
      </w:pPr>
      <w:r>
        <w:t>7. 技术架构与数据约定</w:t>
      </w:r>
    </w:p>
    <w:p>
      <w:pPr>
        <w:ind w:firstLine="420"/>
      </w:pPr>
      <w:r>
        <w:t>浏览器访问 Next.js Web；公开数据通过 /api/v1 调用 NestJS API，经销商和后台受保护请求通过 Next.js 同源会话代理转发，JWT 仅保存在 HttpOnly、SameSite=Strict Cookie。API 使用 PostgreSQL 持久化、Redis 实现限流/黑名单，SMTP 在本地指向 Mailpit。API 正常响应形状为 { code, message, data, traceId }，HTTP 状态码保留语义。</w:t>
      </w:r>
    </w:p>
    <w:p>
      <w:pPr>
        <w:ind w:firstLine="420"/>
      </w:pPr>
      <w:r>
        <w:t>核心实体包括 User、Staff、Role、Permission、DealerCompany、DealerMember、Product、Variant/SKU、PriceBook、Stock、Order、UserToken 与 AuditLog。所有金额存整数分；企业业务查询必须带当前登录者解析出的 companyId；删除策略由数据敏感性决定，审计记录不可由业务用户删除。</w:t>
      </w:r>
    </w:p>
    <w:p>
      <w:pPr>
        <w:pStyle w:val="Heading2"/>
      </w:pPr>
      <w:r>
        <w:t>8. 当前功能交付状态（2026-09-08 本机复核）</w:t>
      </w:r>
    </w:p>
    <w:p>
      <w:pPr>
        <w:ind w:firstLine="420"/>
      </w:pPr>
      <w:r>
        <w:t>历史提交 f3c074f 已包含 main 5642da2 及操作手册双方内容。CI #54 对该整合代码树验证通过：110 项单元测试、169 项集成测试、70 项浏览器与性能检查，以及生产启动、扫描和恢复检查。上述数字只对应历史提交，不能直接代表当前工作区。</w:t>
      </w:r>
    </w:p>
    <w:p>
      <w:pPr>
        <w:ind w:firstLine="420"/>
      </w:pPr>
      <w:r>
        <w:t>本次按原网站方向修正后的当前工作区已完成 npm run typecheck、npm run lint、npm test、npm run db:seed 和 npm run build；其中 API 为 29 个测试文件、154 个用例通过，Web 与 API 生产构建通过。页面人工检查覆盖中文和英文首页，确认原站首页结构、图片和栏目保留，英文首页与商品主数据不混入中文。真实商户、正式 SMTP、生产域名、真机和长期运行仍不在本机完成范围。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 w:val="true"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已纳入本轮实现与回归的功能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官网与商品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恢复原网站首页、Logo、栏目、原图和交错图文版式；CMS 模块启停/排程与导航配置实际驱动前台；中英内容和市场切换、7 个原站产品、分类/搜索/筛选/排序、对比、关联产品、评分开关、指南与下载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消费者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成人注册、邮件验证/重置、会话撤销、资料/地址/收藏、购物车合并、税运及价格快照、演示付款、订单 PDF、退货私有证据及退款补偿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经销商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申请/资质/条款、企业成员与角色、区域和价表授权、CSV/MOQ/倍数/箱规、RFQ 版本、PO 快照、付款、分批发货、复购与售后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后台运营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商品/SKU/市场库存、价格规则、CMS 编辑/翻译/排程、媒体分类/权限/版本/扫描、联系工单、通知、SEO、审计与报表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权限与隐私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员工和用户分表、员工登录 MFA、敏感动作权限与 MFA、实时撤权、跨企业隔离、上传校验、私有资源临时授权、账户隐私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工程运行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61 个 Prisma 业务模型、29 次迁移、生产镜像、健康探针、ClamAV、加密备份与媒体恢复、pgBackRest WAL 时间点恢复</w:t>
            </w:r>
          </w:p>
        </w:tc>
      </w:tr>
    </w:tbl>
    <w:p>
      <w:pPr>
        <w:spacing w:after="20"/>
      </w:pPr>
    </w:p>
    <w:p>
      <w:pPr>
        <w:ind w:firstLine="420"/>
      </w:pPr>
      <w:r>
        <w:t>原始规格逐项映射见 最终需求矩阵，测试数字、100 用户负载和未验收项见 系统测试报告。自动化通过不代表真实商户或公网生产已验收。</w:t>
      </w:r>
    </w:p>
    <w:p>
      <w:pPr>
        <w:pStyle w:val="Heading2"/>
      </w:pPr>
      <w:r>
        <w:t>9. 验收与追踪</w:t>
      </w:r>
    </w:p>
    <w:p>
      <w:pPr>
        <w:ind w:firstLine="420"/>
      </w:pPr>
      <w:r>
        <w:t>每条 P0 需求关联责任人、Issue/PR 和可复核证据。缺陷记录负责人、修复提交及复测结果。测试覆盖正常路径、参数边界、未登录、角色越权、跨企业访问、重复令牌、限流、移动端兼容和构建部署。</w:t>
      </w:r>
    </w:p>
    <w:p>
      <w:pPr>
        <w:ind w:firstLine="420"/>
      </w:pPr>
      <w:r>
        <w:t>课程交付包括个人 Web 技术现状报告、进度计划、正式会议纪要、需求、测试报告、项目汇报 PPT、源代码和工作量表。会议纪要采用结构化记录。项目实际工作量占比为甘文韬 25%，其余四人各 18.75%，合计 100%；实际职责分配见工作量报告。</w:t>
      </w:r>
    </w:p>
    <w:p>
      <w:pPr>
        <w:pStyle w:val="Heading2"/>
      </w:pPr>
      <w:r>
        <w:t>10. 风险与后续决策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 w:val="true"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处理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课程与生产验收混淆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样例被当作生产承诺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明确测试数据、DEMO 支付和外部条件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原站 HTTPS 待复核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9 月 6 日握手失败影响安全与 SEO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切换前检查证书、301、混合内容及 sitemap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并行修改 Schema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冲突或迁移链断裂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先约定模型，独立迁移，逐个 PR 合并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开发依赖降级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遗漏 Redis/SMTP 生产问题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生产启动强制配置，CI 启用真实依赖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开发工具更新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影响供应链与迁移稳定性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跟踪修复，升级前验证迁移和生成流程</w:t>
            </w:r>
          </w:p>
        </w:tc>
      </w:tr>
    </w:tbl>
    <w:p>
      <w:pPr>
        <w:spacing w:after="20"/>
      </w:pPr>
    </w:p>
    <w:p>
      <w:pPr>
        <w:pStyle w:val="Heading2"/>
      </w:pPr>
      <w:r>
        <w:t>11. 变更记录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rPr>
          <w:cantSplit/>
          <w:tblHeader w:val="true"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变更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负责人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v0.5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2026-09-08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同步全组功能补齐、四门户交付、CI #54 验证基线与真实外部验收条件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甘文韬整合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v0.6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2026-09-08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纠正“运动玩具平台”方向，明确保留原网站前端与图片；同步 CMS/导航接入、原站商品主数据、双语和本机 154 项回归结果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甘文韬整合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v0.7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2026-09-08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完成全界面中英文覆盖复核；统一三类演示账号的 /login 入口与简单测试口令；补齐课程提交与源码冻结要求</w:t>
            </w:r>
          </w:p>
        </w:tc>
        <w:tc>
          <w:tcPr>
            <w:tcW w:type="dxa" w:w="23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甘文韬整合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76" w:bottom="1077" w:left="1276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087"/>
      <w:gridCol w:w="2268"/>
    </w:tblGrid>
    <w:tr>
      <w:tc>
        <w:tcPr>
          <w:tcW w:type="dxa" w:w="4677"/>
        </w:tcPr>
        <w:p>
          <w:r>
            <w:rPr>
              <w:rFonts w:ascii="Aptos" w:hAnsi="Aptos" w:eastAsia="等线"/>
              <w:color w:val="5D6975"/>
              <w:sz w:val="16"/>
            </w:rPr>
            <w:t>项目需求文档 · v0.7 · 2026-09-08</w:t>
          </w:r>
        </w:p>
      </w:tc>
      <w:tc>
        <w:tcPr>
          <w:tcW w:type="dxa" w:w="4677"/>
        </w:tcPr>
        <w:p>
          <w:pPr>
            <w:jc w:val="right"/>
          </w:pPr>
          <w:r>
            <w:rPr>
              <w:rFonts w:ascii="Aptos" w:hAnsi="Aptos" w:eastAsia="等线"/>
              <w:color w:val="5D6975"/>
              <w:sz w:val="16"/>
            </w:rPr>
            <w:t xml:space="preserve">第 </w:t>
          </w:r>
          <w:r>
            <w:fldChar w:fldCharType="begin"/>
            <w:instrText xml:space="preserve"> PAGE </w:instrText>
            <w:fldChar w:fldCharType="separate"/>
            <w:t>请在 Word 中更新目录</w:t>
            <w:fldChar w:fldCharType="end"/>
          </w:r>
          <w:r>
            <w:rPr>
              <w:rFonts w:ascii="Aptos" w:hAnsi="Aptos" w:eastAsia="等线"/>
              <w:color w:val="5D6975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等线"/>
        <w:b/>
        <w:color w:val="000000"/>
        <w:sz w:val="16"/>
      </w:rPr>
      <w:t>WEMOVE 原网站重构  ·  软件开发实践2  ·  第8组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93"/>
    </w:pPr>
    <w:rPr>
      <w:rFonts w:ascii="Aptos" w:hAnsi="Aptos" w:eastAsia="等线"/>
      <w:color w:val="26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等线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WEMOVE 原网站与业务门户重构项目需求文档</dc:title>
  <dc:subject>软件开发实践2 · 下午班第8组</dc:subject>
  <dc:creator>甘文韬、陈婧琳、周慧莹、倪依玲、龙祖怡</dc:creator>
  <cp:keywords>WEMOVE, 原网站重构, 软件开发实践2, 需求文档, 第8组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