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21B97" w14:textId="77777777" w:rsidR="000D07F7" w:rsidRDefault="00000000">
      <w:pPr>
        <w:spacing w:after="100"/>
      </w:pPr>
      <w:r>
        <w:rPr>
          <w:b/>
          <w:bCs/>
          <w:color w:val="1F3864"/>
          <w:sz w:val="38"/>
          <w:szCs w:val="38"/>
        </w:rPr>
        <w:t>RSNA Knee MRI: my feedback</w:t>
      </w:r>
    </w:p>
    <w:p w14:paraId="0A1960B3" w14:textId="77777777" w:rsidR="000D07F7" w:rsidRDefault="00000000">
      <w:pPr>
        <w:pBdr>
          <w:left w:val="single" w:sz="18" w:space="6" w:color="B4C6E7"/>
        </w:pBdr>
        <w:shd w:val="clear" w:color="auto" w:fill="F2F2F2"/>
        <w:spacing w:after="160" w:line="276" w:lineRule="auto"/>
      </w:pPr>
      <w:r>
        <w:rPr>
          <w:b/>
          <w:bCs/>
          <w:sz w:val="20"/>
          <w:szCs w:val="20"/>
        </w:rPr>
        <w:t xml:space="preserve">How to read the sources. </w:t>
      </w:r>
      <w:r>
        <w:rPr>
          <w:sz w:val="20"/>
          <w:szCs w:val="20"/>
        </w:rPr>
        <w:t xml:space="preserve">Numbers like </w:t>
      </w:r>
      <w:r>
        <w:rPr>
          <w:b/>
          <w:bCs/>
          <w:color w:val="1F4E79"/>
          <w:sz w:val="18"/>
          <w:szCs w:val="18"/>
        </w:rPr>
        <w:t>[3]</w:t>
      </w:r>
      <w:r>
        <w:rPr>
          <w:sz w:val="20"/>
          <w:szCs w:val="20"/>
        </w:rPr>
        <w:t xml:space="preserve"> point to the Sources list at the end. </w:t>
      </w:r>
      <w:r>
        <w:rPr>
          <w:b/>
          <w:bCs/>
          <w:color w:val="B45309"/>
          <w:sz w:val="18"/>
          <w:szCs w:val="18"/>
        </w:rPr>
        <w:t>[Us]</w:t>
      </w:r>
      <w:r>
        <w:rPr>
          <w:sz w:val="20"/>
          <w:szCs w:val="20"/>
        </w:rPr>
        <w:t xml:space="preserve"> marks our own reasoning or general </w:t>
      </w:r>
      <w:proofErr w:type="gramStart"/>
      <w:r>
        <w:rPr>
          <w:sz w:val="20"/>
          <w:szCs w:val="20"/>
        </w:rPr>
        <w:t>knowledge,</w:t>
      </w:r>
      <w:proofErr w:type="gramEnd"/>
      <w:r>
        <w:rPr>
          <w:sz w:val="20"/>
          <w:szCs w:val="20"/>
        </w:rPr>
        <w:t xml:space="preserve"> with no source we checked. Sources 9 and 10 are one competitor’s public notes: useful, but unverified.</w:t>
      </w:r>
    </w:p>
    <w:p w14:paraId="0A9F7BA3" w14:textId="77777777" w:rsidR="000D07F7" w:rsidRDefault="00000000">
      <w:pPr>
        <w:keepNext/>
        <w:pBdr>
          <w:bottom w:val="single" w:sz="6" w:space="2" w:color="B4C6E7"/>
        </w:pBdr>
        <w:spacing w:before="300" w:after="100"/>
      </w:pPr>
      <w:r>
        <w:rPr>
          <w:b/>
          <w:bCs/>
          <w:color w:val="1F3864"/>
          <w:sz w:val="28"/>
          <w:szCs w:val="28"/>
        </w:rPr>
        <w:t>The goal</w:t>
      </w:r>
    </w:p>
    <w:p w14:paraId="2356D011" w14:textId="77777777" w:rsidR="000D07F7" w:rsidRDefault="00000000">
      <w:pPr>
        <w:spacing w:after="120" w:line="276" w:lineRule="auto"/>
      </w:pPr>
      <w:r>
        <w:t xml:space="preserve">For each knee MRI scan, our model says how likely each of 12 knee problems is </w:t>
      </w:r>
      <w:r>
        <w:rPr>
          <w:b/>
          <w:bCs/>
          <w:color w:val="1F4E79"/>
          <w:sz w:val="19"/>
          <w:szCs w:val="19"/>
        </w:rPr>
        <w:t>[1][9]</w:t>
      </w:r>
      <w:r>
        <w:t xml:space="preserve">. We are scored by AUC, averaged over the 12 problems </w:t>
      </w:r>
      <w:r>
        <w:rPr>
          <w:b/>
          <w:bCs/>
          <w:color w:val="1F4E79"/>
          <w:sz w:val="19"/>
          <w:szCs w:val="19"/>
        </w:rPr>
        <w:t>[9]</w:t>
      </w:r>
      <w:r>
        <w:t xml:space="preserve">. AUC is a ranking score: 1.0 means every sick knee is ranked above every healthy one, and 0.5 means guessing </w:t>
      </w:r>
      <w:r>
        <w:rPr>
          <w:b/>
          <w:bCs/>
          <w:color w:val="B45309"/>
          <w:sz w:val="19"/>
          <w:szCs w:val="19"/>
        </w:rPr>
        <w:t>[Us]</w:t>
      </w:r>
      <w:r>
        <w:t xml:space="preserve">. The scoring answers came from expert radiologists reading the images </w:t>
      </w:r>
      <w:r>
        <w:rPr>
          <w:b/>
          <w:bCs/>
          <w:color w:val="1F4E79"/>
          <w:sz w:val="19"/>
          <w:szCs w:val="19"/>
        </w:rPr>
        <w:t>[2]</w:t>
      </w:r>
      <w:r>
        <w:t xml:space="preserve">, and borderline cases were marked “no” </w:t>
      </w:r>
      <w:r>
        <w:rPr>
          <w:b/>
          <w:bCs/>
          <w:color w:val="1F4E79"/>
          <w:sz w:val="19"/>
          <w:szCs w:val="19"/>
        </w:rPr>
        <w:t>[9]</w:t>
      </w:r>
      <w:r>
        <w:t>. The metric is not confirmed on Kaggle itself, so check the Evaluation tab.</w:t>
      </w:r>
    </w:p>
    <w:p w14:paraId="5478EA53" w14:textId="77777777" w:rsidR="000D07F7" w:rsidRDefault="00000000">
      <w:pPr>
        <w:keepNext/>
        <w:pBdr>
          <w:bottom w:val="single" w:sz="6" w:space="2" w:color="B4C6E7"/>
        </w:pBdr>
        <w:spacing w:before="300" w:after="100"/>
      </w:pPr>
      <w:r>
        <w:rPr>
          <w:b/>
          <w:bCs/>
          <w:color w:val="1F3864"/>
          <w:sz w:val="28"/>
          <w:szCs w:val="28"/>
        </w:rPr>
        <w:t>The 12 problems</w:t>
      </w:r>
    </w:p>
    <w:p w14:paraId="3DC25D4D" w14:textId="77777777" w:rsidR="000D07F7" w:rsidRDefault="00000000">
      <w:pPr>
        <w:spacing w:after="80" w:line="276" w:lineRule="auto"/>
      </w:pPr>
      <w:r>
        <w:t xml:space="preserve">Each scan is a set of stacked slices in three views: the side view (sagittal), the front view (coronal) and the cross-section from above (axial) </w:t>
      </w:r>
      <w:r>
        <w:rPr>
          <w:b/>
          <w:bCs/>
          <w:color w:val="B45309"/>
          <w:sz w:val="19"/>
          <w:szCs w:val="19"/>
        </w:rPr>
        <w:t>[Us]</w:t>
      </w:r>
      <w:r>
        <w:t xml:space="preserve">. Some series are “fluid-sensitive”, where fluid and swelling show up bright </w:t>
      </w:r>
      <w:r>
        <w:rPr>
          <w:b/>
          <w:bCs/>
          <w:color w:val="B45309"/>
          <w:sz w:val="19"/>
          <w:szCs w:val="19"/>
        </w:rPr>
        <w:t>[Us]</w:t>
      </w:r>
      <w:r>
        <w:t>.</w:t>
      </w:r>
    </w:p>
    <w:p w14:paraId="64822312" w14:textId="77777777" w:rsidR="000D07F7" w:rsidRDefault="00000000">
      <w:pPr>
        <w:spacing w:after="140" w:line="276" w:lineRule="auto"/>
      </w:pPr>
      <w:r>
        <w:t xml:space="preserve">The “What it is” column is our plain-language explanation </w:t>
      </w:r>
      <w:r>
        <w:rPr>
          <w:b/>
          <w:bCs/>
          <w:color w:val="B45309"/>
          <w:sz w:val="19"/>
          <w:szCs w:val="19"/>
        </w:rPr>
        <w:t>[Us]</w:t>
      </w:r>
      <w:r>
        <w:t>. “Counts as yes” follows the host’s label rules as quoted in source 9. “Best view” comes from radiology teaching sources and is a starting guess, not tested on our data.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900"/>
        <w:gridCol w:w="3000"/>
        <w:gridCol w:w="2960"/>
      </w:tblGrid>
      <w:tr w:rsidR="000D07F7" w14:paraId="7280A19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884A0B" w14:textId="77777777" w:rsidR="000D07F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Problem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8D8666" w14:textId="77777777" w:rsidR="000D07F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What it is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69E162" w14:textId="77777777" w:rsidR="000D07F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Counts as “yes”</w:t>
            </w:r>
          </w:p>
        </w:tc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F8166A" w14:textId="77777777" w:rsidR="000D07F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Best view</w:t>
            </w:r>
          </w:p>
        </w:tc>
      </w:tr>
      <w:tr w:rsidR="000D07F7" w14:paraId="4B3C2C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C53BAF" w14:textId="77777777" w:rsidR="000D07F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ACL tear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8F8A34" w14:textId="77777777" w:rsidR="000D07F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The main ligament inside the knee, which stops the shin sliding forward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B5E0BA" w14:textId="77777777" w:rsidR="000D07F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Completely torn, or more than half the fibers torn. Mild changes do not count </w:t>
            </w:r>
            <w:r>
              <w:rPr>
                <w:b/>
                <w:bCs/>
                <w:color w:val="1F4E79"/>
                <w:sz w:val="16"/>
                <w:szCs w:val="16"/>
              </w:rPr>
              <w:t>[9]</w:t>
            </w:r>
          </w:p>
        </w:tc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7B38BC" w14:textId="77777777" w:rsidR="000D07F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All three views </w:t>
            </w:r>
            <w:r>
              <w:rPr>
                <w:b/>
                <w:bCs/>
                <w:color w:val="1F4E79"/>
                <w:sz w:val="16"/>
                <w:szCs w:val="16"/>
              </w:rPr>
              <w:t>[4]</w:t>
            </w:r>
            <w:r>
              <w:rPr>
                <w:sz w:val="18"/>
                <w:szCs w:val="18"/>
              </w:rPr>
              <w:t xml:space="preserve">. Side view first </w:t>
            </w:r>
            <w:r>
              <w:rPr>
                <w:b/>
                <w:bCs/>
                <w:color w:val="1F4E79"/>
                <w:sz w:val="16"/>
                <w:szCs w:val="16"/>
              </w:rPr>
              <w:t>[5]</w:t>
            </w:r>
          </w:p>
        </w:tc>
      </w:tr>
      <w:tr w:rsidR="000D07F7" w14:paraId="58EC94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8DEB9C" w14:textId="77777777" w:rsidR="000D07F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MCL injury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94B769" w14:textId="77777777" w:rsidR="000D07F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The ligament on the inner side of the knee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4CF4A9" w14:textId="77777777" w:rsidR="000D07F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A serious recent tear. A mild sprain or an old injury does not count </w:t>
            </w:r>
            <w:r>
              <w:rPr>
                <w:b/>
                <w:bCs/>
                <w:color w:val="1F4E79"/>
                <w:sz w:val="16"/>
                <w:szCs w:val="16"/>
              </w:rPr>
              <w:t>[9]</w:t>
            </w:r>
          </w:p>
        </w:tc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52D61A" w14:textId="77777777" w:rsidR="000D07F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Front view and cross-section </w:t>
            </w:r>
            <w:r>
              <w:rPr>
                <w:b/>
                <w:bCs/>
                <w:color w:val="1F4E79"/>
                <w:sz w:val="16"/>
                <w:szCs w:val="16"/>
              </w:rPr>
              <w:t>[3]</w:t>
            </w:r>
            <w:r>
              <w:rPr>
                <w:sz w:val="18"/>
                <w:szCs w:val="18"/>
              </w:rPr>
              <w:t xml:space="preserve">. The </w:t>
            </w:r>
            <w:proofErr w:type="spellStart"/>
            <w:r>
              <w:rPr>
                <w:sz w:val="18"/>
                <w:szCs w:val="18"/>
              </w:rPr>
              <w:t>CoPAS</w:t>
            </w:r>
            <w:proofErr w:type="spellEnd"/>
            <w:r>
              <w:rPr>
                <w:sz w:val="18"/>
                <w:szCs w:val="18"/>
              </w:rPr>
              <w:t xml:space="preserve"> paper names the front view as best </w:t>
            </w:r>
            <w:r>
              <w:rPr>
                <w:b/>
                <w:bCs/>
                <w:color w:val="1F4E79"/>
                <w:sz w:val="16"/>
                <w:szCs w:val="16"/>
              </w:rPr>
              <w:t>[5]</w:t>
            </w:r>
          </w:p>
        </w:tc>
      </w:tr>
      <w:tr w:rsidR="000D07F7" w14:paraId="065B01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F903E1" w14:textId="77777777" w:rsidR="000D07F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Inner and outer meniscus (2 problems)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168EF4" w14:textId="77777777" w:rsidR="000D07F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The two C-shaped cartilage cushions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76F3AA" w14:textId="77777777" w:rsidR="000D07F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A tear that reaches the surface and shows on at least two images, or a clearly deformed shape </w:t>
            </w:r>
            <w:r>
              <w:rPr>
                <w:b/>
                <w:bCs/>
                <w:color w:val="1F4E79"/>
                <w:sz w:val="16"/>
                <w:szCs w:val="16"/>
              </w:rPr>
              <w:t>[9]</w:t>
            </w:r>
            <w:r>
              <w:rPr>
                <w:sz w:val="18"/>
                <w:szCs w:val="18"/>
              </w:rPr>
              <w:t xml:space="preserve">. Radiologists use the same two-image rule in practice </w:t>
            </w:r>
            <w:r>
              <w:rPr>
                <w:b/>
                <w:bCs/>
                <w:color w:val="1F4E79"/>
                <w:sz w:val="16"/>
                <w:szCs w:val="16"/>
              </w:rPr>
              <w:t>[8]</w:t>
            </w:r>
          </w:p>
        </w:tc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6EB678" w14:textId="77777777" w:rsidR="000D07F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Side view first, then front view </w:t>
            </w:r>
            <w:r>
              <w:rPr>
                <w:b/>
                <w:bCs/>
                <w:color w:val="1F4E79"/>
                <w:sz w:val="16"/>
                <w:szCs w:val="16"/>
              </w:rPr>
              <w:t>[4][5]</w:t>
            </w:r>
          </w:p>
        </w:tc>
      </w:tr>
      <w:tr w:rsidR="000D07F7" w14:paraId="268D57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4AA333" w14:textId="77777777" w:rsidR="000D07F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Cartilage loss: inner, outer, kneecap (3 problems)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63BDE9" w14:textId="77777777" w:rsidR="000D07F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The smooth lining on the bone ends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795A27" w14:textId="77777777" w:rsidR="000D07F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More than half the thickness gone, over an area of about 1 cm or more </w:t>
            </w:r>
            <w:r>
              <w:rPr>
                <w:b/>
                <w:bCs/>
                <w:color w:val="1F4E79"/>
                <w:sz w:val="16"/>
                <w:szCs w:val="16"/>
              </w:rPr>
              <w:t>[9]</w:t>
            </w:r>
          </w:p>
        </w:tc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846116" w14:textId="77777777" w:rsidR="000D07F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Front and side views. Cross-section for the kneecap </w:t>
            </w:r>
            <w:r>
              <w:rPr>
                <w:b/>
                <w:bCs/>
                <w:color w:val="1F4E79"/>
                <w:sz w:val="16"/>
                <w:szCs w:val="16"/>
              </w:rPr>
              <w:t>[3]</w:t>
            </w:r>
          </w:p>
        </w:tc>
      </w:tr>
      <w:tr w:rsidR="000D07F7" w14:paraId="27E326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606AB6" w14:textId="77777777" w:rsidR="000D07F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Joint fluid (effusion)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EA87BB" w14:textId="77777777" w:rsidR="000D07F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Extra fluid inside the joint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65F2F2" w14:textId="77777777" w:rsidR="000D07F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A moderate or large amount </w:t>
            </w:r>
            <w:r>
              <w:rPr>
                <w:b/>
                <w:bCs/>
                <w:color w:val="1F4E79"/>
                <w:sz w:val="16"/>
                <w:szCs w:val="16"/>
              </w:rPr>
              <w:t>[9]</w:t>
            </w:r>
          </w:p>
        </w:tc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25D181" w14:textId="77777777" w:rsidR="000D07F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Cross-section </w:t>
            </w:r>
            <w:r>
              <w:rPr>
                <w:b/>
                <w:bCs/>
                <w:color w:val="1F4E79"/>
                <w:sz w:val="16"/>
                <w:szCs w:val="16"/>
              </w:rPr>
              <w:t>[3]</w:t>
            </w:r>
          </w:p>
        </w:tc>
      </w:tr>
      <w:tr w:rsidR="000D07F7" w14:paraId="0C6C2A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45A791" w14:textId="77777777" w:rsidR="000D07F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Baker’s cyst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3A5792" w14:textId="77777777" w:rsidR="000D07F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A fluid pocket behind the knee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3E331D" w14:textId="77777777" w:rsidR="000D07F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A moderate or large collection </w:t>
            </w:r>
            <w:r>
              <w:rPr>
                <w:b/>
                <w:bCs/>
                <w:color w:val="1F4E79"/>
                <w:sz w:val="16"/>
                <w:szCs w:val="16"/>
              </w:rPr>
              <w:t>[9]</w:t>
            </w:r>
          </w:p>
        </w:tc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3BA66A" w14:textId="77777777" w:rsidR="000D07F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Cross-section </w:t>
            </w:r>
            <w:r>
              <w:rPr>
                <w:b/>
                <w:bCs/>
                <w:color w:val="1F4E79"/>
                <w:sz w:val="16"/>
                <w:szCs w:val="16"/>
              </w:rPr>
              <w:t>[3]</w:t>
            </w:r>
          </w:p>
        </w:tc>
      </w:tr>
      <w:tr w:rsidR="000D07F7" w14:paraId="574512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9E52FD" w14:textId="77777777" w:rsidR="000D07F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Synovitis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E2770C" w14:textId="77777777" w:rsidR="000D07F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Inflamed joint lining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FDD79C" w14:textId="77777777" w:rsidR="000D07F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No cut-off found in the sources read</w:t>
            </w:r>
          </w:p>
        </w:tc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4543C1" w14:textId="77777777" w:rsidR="000D07F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Fluid-sensitive series </w:t>
            </w:r>
            <w:r>
              <w:rPr>
                <w:b/>
                <w:bCs/>
                <w:color w:val="B45309"/>
                <w:sz w:val="16"/>
                <w:szCs w:val="16"/>
              </w:rPr>
              <w:t>[Us]</w:t>
            </w:r>
          </w:p>
        </w:tc>
      </w:tr>
      <w:tr w:rsidR="000D07F7" w14:paraId="25EBED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F35FA5" w14:textId="77777777" w:rsidR="000D07F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Bone bruise (contusion)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A8FF1B" w14:textId="77777777" w:rsidR="000D07F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Swelling inside the bone from impact, with no crack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4F7133" w14:textId="77777777" w:rsidR="000D07F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Bright swelling in the bone and no crack line </w:t>
            </w:r>
            <w:r>
              <w:rPr>
                <w:b/>
                <w:bCs/>
                <w:color w:val="1F4E79"/>
                <w:sz w:val="16"/>
                <w:szCs w:val="16"/>
              </w:rPr>
              <w:t>[9]</w:t>
            </w:r>
          </w:p>
        </w:tc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B66275" w14:textId="77777777" w:rsidR="000D07F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Fluid-sensitive series </w:t>
            </w:r>
            <w:r>
              <w:rPr>
                <w:b/>
                <w:bCs/>
                <w:color w:val="1F4E79"/>
                <w:sz w:val="16"/>
                <w:szCs w:val="16"/>
              </w:rPr>
              <w:t>[3]</w:t>
            </w:r>
          </w:p>
        </w:tc>
      </w:tr>
      <w:tr w:rsidR="000D07F7" w14:paraId="5A7730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008760" w14:textId="77777777" w:rsidR="000D07F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lastRenderedPageBreak/>
              <w:t>Fracture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5655BA" w14:textId="77777777" w:rsidR="000D07F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A broken bone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2390F7" w14:textId="77777777" w:rsidR="000D07F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A visible crack through the bone’s outer shell </w:t>
            </w:r>
            <w:r>
              <w:rPr>
                <w:b/>
                <w:bCs/>
                <w:color w:val="1F4E79"/>
                <w:sz w:val="16"/>
                <w:szCs w:val="16"/>
              </w:rPr>
              <w:t>[9]</w:t>
            </w:r>
          </w:p>
        </w:tc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7D501C" w14:textId="77777777" w:rsidR="000D07F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Front view, plain series </w:t>
            </w:r>
            <w:r>
              <w:rPr>
                <w:b/>
                <w:bCs/>
                <w:color w:val="1F4E79"/>
                <w:sz w:val="16"/>
                <w:szCs w:val="16"/>
              </w:rPr>
              <w:t>[3]</w:t>
            </w:r>
            <w:r>
              <w:rPr>
                <w:sz w:val="18"/>
                <w:szCs w:val="18"/>
              </w:rPr>
              <w:t xml:space="preserve">. Which series in our data counts as plain (T1-type) is our guess </w:t>
            </w:r>
            <w:r>
              <w:rPr>
                <w:b/>
                <w:bCs/>
                <w:color w:val="B45309"/>
                <w:sz w:val="16"/>
                <w:szCs w:val="16"/>
              </w:rPr>
              <w:t>[Us]</w:t>
            </w:r>
          </w:p>
        </w:tc>
      </w:tr>
    </w:tbl>
    <w:p w14:paraId="297CCE1B" w14:textId="77777777" w:rsidR="000D07F7" w:rsidRDefault="00000000">
      <w:pPr>
        <w:keepNext/>
        <w:pBdr>
          <w:bottom w:val="single" w:sz="6" w:space="2" w:color="B4C6E7"/>
        </w:pBdr>
        <w:spacing w:before="300" w:after="100"/>
      </w:pPr>
      <w:r>
        <w:rPr>
          <w:b/>
          <w:bCs/>
          <w:color w:val="1F3864"/>
          <w:sz w:val="28"/>
          <w:szCs w:val="28"/>
        </w:rPr>
        <w:t>The traps I find</w:t>
      </w:r>
    </w:p>
    <w:p w14:paraId="33FB9CEE" w14:textId="77777777" w:rsidR="000D07F7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b/>
          <w:bCs/>
        </w:rPr>
        <w:t>The report is not the answer key.</w:t>
      </w:r>
      <w:r>
        <w:t xml:space="preserve"> Each scan comes with one doctor’s written report, but the real answers came from expert readers with stricter cut-offs </w:t>
      </w:r>
      <w:r>
        <w:rPr>
          <w:b/>
          <w:bCs/>
          <w:color w:val="1F4E79"/>
          <w:sz w:val="19"/>
          <w:szCs w:val="19"/>
        </w:rPr>
        <w:t>[9]</w:t>
      </w:r>
      <w:r>
        <w:t xml:space="preserve">. A competitor counts only 58 of 4,407 training scans with all 12 expert answers </w:t>
      </w:r>
      <w:r>
        <w:rPr>
          <w:b/>
          <w:bCs/>
          <w:color w:val="1F4E79"/>
          <w:sz w:val="19"/>
          <w:szCs w:val="19"/>
        </w:rPr>
        <w:t>[9]</w:t>
      </w:r>
      <w:r>
        <w:t xml:space="preserve">. We have not checked this, so count the fully labeled rows in train.csv. In an audit of 20 of those 58 scans, quoted in </w:t>
      </w:r>
      <w:r>
        <w:rPr>
          <w:b/>
          <w:bCs/>
          <w:color w:val="1F4E79"/>
          <w:sz w:val="19"/>
          <w:szCs w:val="19"/>
        </w:rPr>
        <w:t>[9]</w:t>
      </w:r>
      <w:r>
        <w:t xml:space="preserve">, the reports matched the expert answers 82.5% of the time. Reports often skip findings the experts called: one competitor found synovitis named in about 1 in 8 reports (11.9%) </w:t>
      </w:r>
      <w:r>
        <w:rPr>
          <w:b/>
          <w:bCs/>
          <w:color w:val="1F4E79"/>
          <w:sz w:val="19"/>
          <w:szCs w:val="19"/>
        </w:rPr>
        <w:t>[10]</w:t>
      </w:r>
      <w:r>
        <w:t>.</w:t>
      </w:r>
    </w:p>
    <w:p w14:paraId="56C01600" w14:textId="1A892247" w:rsidR="000D07F7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b/>
          <w:bCs/>
        </w:rPr>
        <w:t>Normal parts of the knee can look like tears.</w:t>
      </w:r>
      <w:r>
        <w:t xml:space="preserve"> The popliteus tendon and a small ligament (the meniscofemoral ligament) at the back of the outer meniscus, and the transverse ligament at the front of the meniscus, can copy a tear </w:t>
      </w:r>
      <w:r>
        <w:rPr>
          <w:b/>
          <w:bCs/>
          <w:color w:val="1F4E79"/>
          <w:sz w:val="19"/>
          <w:szCs w:val="19"/>
        </w:rPr>
        <w:t>[6]</w:t>
      </w:r>
      <w:r>
        <w:t xml:space="preserve">. In one study, a blunted tip of the inner meniscus on front-view images, which can pass for a tear, was seen in 78.6% of 485 knees, and none of the 96 knees checked by keyhole surgery had a true tear there </w:t>
      </w:r>
      <w:r>
        <w:rPr>
          <w:b/>
          <w:bCs/>
          <w:color w:val="1F4E79"/>
          <w:sz w:val="19"/>
          <w:szCs w:val="19"/>
        </w:rPr>
        <w:t>[6]</w:t>
      </w:r>
      <w:r>
        <w:t xml:space="preserve">. The model can be fooled the same way, so </w:t>
      </w:r>
      <w:r w:rsidR="00EF096E">
        <w:t xml:space="preserve">Dr Amit </w:t>
      </w:r>
      <w:r>
        <w:t xml:space="preserve">should name the common look-alikes </w:t>
      </w:r>
      <w:r>
        <w:rPr>
          <w:b/>
          <w:bCs/>
          <w:color w:val="B45309"/>
          <w:sz w:val="19"/>
          <w:szCs w:val="19"/>
        </w:rPr>
        <w:t>[Us]</w:t>
      </w:r>
      <w:r>
        <w:t>.</w:t>
      </w:r>
    </w:p>
    <w:p w14:paraId="2218D90A" w14:textId="77777777" w:rsidR="000D07F7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b/>
          <w:bCs/>
        </w:rPr>
        <w:t>Left and right matter.</w:t>
      </w:r>
      <w:r>
        <w:t xml:space="preserve"> About half the scans do not record which knee it is </w:t>
      </w:r>
      <w:r>
        <w:rPr>
          <w:b/>
          <w:bCs/>
          <w:color w:val="1F4E79"/>
          <w:sz w:val="19"/>
          <w:szCs w:val="19"/>
        </w:rPr>
        <w:t>[10]</w:t>
      </w:r>
      <w:r>
        <w:t xml:space="preserve">. Inner and outer are separate answers </w:t>
      </w:r>
      <w:r>
        <w:rPr>
          <w:b/>
          <w:bCs/>
          <w:color w:val="1F4E79"/>
          <w:sz w:val="19"/>
          <w:szCs w:val="19"/>
        </w:rPr>
        <w:t>[9]</w:t>
      </w:r>
      <w:r>
        <w:t xml:space="preserve">, and the inner side sits on opposite sides of the picture for a left and a right knee </w:t>
      </w:r>
      <w:r>
        <w:rPr>
          <w:b/>
          <w:bCs/>
          <w:color w:val="B45309"/>
          <w:sz w:val="19"/>
          <w:szCs w:val="19"/>
        </w:rPr>
        <w:t>[Us]</w:t>
      </w:r>
      <w:r>
        <w:t xml:space="preserve">. Flipping an image does not change its answers, so never swap labels when flipping </w:t>
      </w:r>
      <w:r>
        <w:rPr>
          <w:b/>
          <w:bCs/>
          <w:color w:val="B45309"/>
          <w:sz w:val="19"/>
          <w:szCs w:val="19"/>
        </w:rPr>
        <w:t>[Us]</w:t>
      </w:r>
      <w:r>
        <w:t xml:space="preserve">. A competitor’s notes avoid flipping, on the reasoning that it swaps inner and outer </w:t>
      </w:r>
      <w:r>
        <w:rPr>
          <w:b/>
          <w:bCs/>
          <w:color w:val="1F4E79"/>
          <w:sz w:val="19"/>
          <w:szCs w:val="19"/>
        </w:rPr>
        <w:t>[9]</w:t>
      </w:r>
      <w:r>
        <w:t>. The two views conflict, so the safest choice is no flipping until Dr Amit confirms.</w:t>
      </w:r>
    </w:p>
    <w:p w14:paraId="2E4B22B6" w14:textId="77777777" w:rsidR="000D07F7" w:rsidRDefault="00000000">
      <w:pPr>
        <w:keepNext/>
        <w:pBdr>
          <w:bottom w:val="single" w:sz="6" w:space="2" w:color="B4C6E7"/>
        </w:pBdr>
        <w:spacing w:before="300" w:after="100"/>
      </w:pPr>
      <w:r>
        <w:rPr>
          <w:b/>
          <w:bCs/>
          <w:color w:val="1F3864"/>
          <w:sz w:val="28"/>
          <w:szCs w:val="28"/>
        </w:rPr>
        <w:t>What you guys should try</w:t>
      </w:r>
    </w:p>
    <w:p w14:paraId="137F5DF0" w14:textId="77777777" w:rsidR="000D07F7" w:rsidRDefault="00000000">
      <w:pPr>
        <w:keepNext/>
        <w:spacing w:after="100" w:line="276" w:lineRule="auto"/>
      </w:pPr>
      <w:r>
        <w:rPr>
          <w:i/>
          <w:iCs/>
        </w:rPr>
        <w:t>None of these has been tested on our data yet.</w:t>
      </w:r>
    </w:p>
    <w:p w14:paraId="18436E0C" w14:textId="77777777" w:rsidR="000D07F7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Clean up the training answers.</w:t>
      </w:r>
      <w:r>
        <w:t xml:space="preserve"> A report that says nothing about a problem may not mean “no” </w:t>
      </w:r>
      <w:r>
        <w:rPr>
          <w:b/>
          <w:bCs/>
          <w:color w:val="1F4E79"/>
          <w:sz w:val="19"/>
          <w:szCs w:val="19"/>
        </w:rPr>
        <w:t>[10]</w:t>
      </w:r>
      <w:r>
        <w:t xml:space="preserve">. Use the 58 expert-labeled scans to check how often silence is wrong </w:t>
      </w:r>
      <w:r>
        <w:rPr>
          <w:b/>
          <w:bCs/>
          <w:color w:val="B45309"/>
          <w:sz w:val="19"/>
          <w:szCs w:val="19"/>
        </w:rPr>
        <w:t>[Us]</w:t>
      </w:r>
      <w:r>
        <w:t>.</w:t>
      </w:r>
    </w:p>
    <w:p w14:paraId="6DE17C20" w14:textId="77777777" w:rsidR="000D07F7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 xml:space="preserve">Show each problem only the views a radiologist would use </w:t>
      </w:r>
      <w:r>
        <w:rPr>
          <w:b/>
          <w:bCs/>
          <w:color w:val="B45309"/>
          <w:sz w:val="19"/>
          <w:szCs w:val="19"/>
        </w:rPr>
        <w:t>[Us]</w:t>
      </w:r>
      <w:r>
        <w:rPr>
          <w:b/>
          <w:bCs/>
        </w:rPr>
        <w:t>.</w:t>
      </w:r>
      <w:r>
        <w:t xml:space="preserve"> The table above is the starting guess, and Dr Amit is the best guide. A published model, </w:t>
      </w:r>
      <w:proofErr w:type="spellStart"/>
      <w:r>
        <w:t>CoPAS</w:t>
      </w:r>
      <w:proofErr w:type="spellEnd"/>
      <w:r>
        <w:t xml:space="preserve">, reads each view separately, and its use of views matched radiologists’ habits for most problems, but not for bone bruise </w:t>
      </w:r>
      <w:r>
        <w:rPr>
          <w:b/>
          <w:bCs/>
          <w:color w:val="1F4E79"/>
          <w:sz w:val="19"/>
          <w:szCs w:val="19"/>
        </w:rPr>
        <w:t>[5]</w:t>
      </w:r>
      <w:r>
        <w:t>.</w:t>
      </w:r>
    </w:p>
    <w:p w14:paraId="7E63D98C" w14:textId="77777777" w:rsidR="000D07F7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Add a small second model that learns “if A, then B”.</w:t>
      </w:r>
      <w:r>
        <w:t xml:space="preserve"> This is the idea from the team chat </w:t>
      </w:r>
      <w:r>
        <w:rPr>
          <w:b/>
          <w:bCs/>
          <w:color w:val="B45309"/>
          <w:sz w:val="19"/>
          <w:szCs w:val="19"/>
        </w:rPr>
        <w:t>[Us]</w:t>
      </w:r>
      <w:r>
        <w:t xml:space="preserve">. For example, in one hospital study of 109 knees, 55 of the 58 knees with the pivot-shift bone-bruise pattern also had an ACL injury </w:t>
      </w:r>
      <w:r>
        <w:rPr>
          <w:b/>
          <w:bCs/>
          <w:color w:val="1F4E79"/>
          <w:sz w:val="19"/>
          <w:szCs w:val="19"/>
        </w:rPr>
        <w:t>[7]</w:t>
      </w:r>
      <w:r>
        <w:t>.</w:t>
      </w:r>
    </w:p>
    <w:p w14:paraId="579DCEB6" w14:textId="77777777" w:rsidR="000D07F7" w:rsidRDefault="00000000">
      <w:pPr>
        <w:keepNext/>
        <w:pBdr>
          <w:bottom w:val="single" w:sz="6" w:space="2" w:color="B4C6E7"/>
        </w:pBdr>
        <w:spacing w:before="300" w:after="100"/>
      </w:pPr>
      <w:r>
        <w:rPr>
          <w:b/>
          <w:bCs/>
          <w:color w:val="1F3864"/>
          <w:sz w:val="28"/>
          <w:szCs w:val="28"/>
        </w:rPr>
        <w:t>Not yet checked</w:t>
      </w:r>
    </w:p>
    <w:p w14:paraId="5C1009E3" w14:textId="77777777" w:rsidR="000D07F7" w:rsidRDefault="00000000">
      <w:pPr>
        <w:pStyle w:val="ListParagraph"/>
        <w:numPr>
          <w:ilvl w:val="0"/>
          <w:numId w:val="4"/>
        </w:numPr>
        <w:spacing w:after="80" w:line="276" w:lineRule="auto"/>
      </w:pPr>
      <w:r>
        <w:t xml:space="preserve">The Kaggle pages (Overview, Evaluation, host discussion) were not read directly. The exact metric, the host’s label wording and the 58-scan count come from a competitor’s notes </w:t>
      </w:r>
      <w:r>
        <w:rPr>
          <w:b/>
          <w:bCs/>
          <w:color w:val="1F4E79"/>
          <w:sz w:val="19"/>
          <w:szCs w:val="19"/>
        </w:rPr>
        <w:t>[9][10]</w:t>
      </w:r>
      <w:r>
        <w:t>.</w:t>
      </w:r>
    </w:p>
    <w:p w14:paraId="6E582746" w14:textId="77777777" w:rsidR="000D07F7" w:rsidRDefault="00000000">
      <w:pPr>
        <w:pStyle w:val="ListParagraph"/>
        <w:keepNext/>
        <w:numPr>
          <w:ilvl w:val="0"/>
          <w:numId w:val="4"/>
        </w:numPr>
        <w:spacing w:after="80" w:line="276" w:lineRule="auto"/>
      </w:pPr>
      <w:r>
        <w:t>The Best view column has not been tested on our data. Dr Amit should confirm it.</w:t>
      </w:r>
    </w:p>
    <w:p w14:paraId="46E79227" w14:textId="77777777" w:rsidR="000D07F7" w:rsidRDefault="00000000">
      <w:pPr>
        <w:pStyle w:val="ListParagraph"/>
        <w:numPr>
          <w:ilvl w:val="0"/>
          <w:numId w:val="4"/>
        </w:numPr>
        <w:spacing w:after="80" w:line="276" w:lineRule="auto"/>
      </w:pPr>
      <w:r>
        <w:t xml:space="preserve">That flipping an image keeps its labels unchanged is our reasoning </w:t>
      </w:r>
      <w:r>
        <w:rPr>
          <w:b/>
          <w:bCs/>
          <w:color w:val="B45309"/>
          <w:sz w:val="19"/>
          <w:szCs w:val="19"/>
        </w:rPr>
        <w:t>[Us]</w:t>
      </w:r>
      <w:r>
        <w:t>.</w:t>
      </w:r>
    </w:p>
    <w:p w14:paraId="3CDEC766" w14:textId="77777777" w:rsidR="000D07F7" w:rsidRDefault="00000000">
      <w:pPr>
        <w:keepNext/>
        <w:pBdr>
          <w:bottom w:val="single" w:sz="6" w:space="2" w:color="B4C6E7"/>
        </w:pBdr>
        <w:spacing w:before="300" w:after="100"/>
      </w:pPr>
      <w:r>
        <w:rPr>
          <w:b/>
          <w:bCs/>
          <w:color w:val="1F3864"/>
          <w:sz w:val="28"/>
          <w:szCs w:val="28"/>
        </w:rPr>
        <w:lastRenderedPageBreak/>
        <w:t>Sources</w:t>
      </w:r>
    </w:p>
    <w:p w14:paraId="499456BE" w14:textId="77777777" w:rsidR="000D07F7" w:rsidRDefault="00000000">
      <w:pPr>
        <w:keepNext/>
        <w:spacing w:before="160" w:after="80"/>
      </w:pPr>
      <w:r>
        <w:rPr>
          <w:b/>
          <w:bCs/>
          <w:color w:val="404040"/>
          <w:sz w:val="20"/>
          <w:szCs w:val="20"/>
        </w:rPr>
        <w:t>Official RSNA and news reports of the RSNA launch</w:t>
      </w:r>
    </w:p>
    <w:p w14:paraId="5AD083D3" w14:textId="77777777" w:rsidR="000D07F7" w:rsidRDefault="00000000">
      <w:pPr>
        <w:tabs>
          <w:tab w:val="left" w:pos="460"/>
        </w:tabs>
        <w:spacing w:after="70" w:line="264" w:lineRule="auto"/>
        <w:ind w:left="460" w:hanging="460"/>
      </w:pPr>
      <w:r>
        <w:rPr>
          <w:b/>
          <w:bCs/>
          <w:color w:val="1F4E79"/>
          <w:sz w:val="19"/>
          <w:szCs w:val="19"/>
        </w:rPr>
        <w:t>[1]</w:t>
      </w:r>
      <w:r>
        <w:rPr>
          <w:sz w:val="19"/>
          <w:szCs w:val="19"/>
        </w:rPr>
        <w:tab/>
      </w:r>
      <w:hyperlink r:id="rId7" w:history="1">
        <w:r>
          <w:rPr>
            <w:color w:val="0563C1"/>
            <w:sz w:val="19"/>
            <w:szCs w:val="19"/>
            <w:u w:val="single"/>
          </w:rPr>
          <w:t>RSNA, Knee MRI AI Challenge</w:t>
        </w:r>
      </w:hyperlink>
      <w:r>
        <w:rPr>
          <w:sz w:val="19"/>
          <w:szCs w:val="19"/>
        </w:rPr>
        <w:t xml:space="preserve"> — the challenge page</w:t>
      </w:r>
    </w:p>
    <w:p w14:paraId="0C5E1677" w14:textId="77777777" w:rsidR="000D07F7" w:rsidRDefault="00000000">
      <w:pPr>
        <w:tabs>
          <w:tab w:val="left" w:pos="460"/>
        </w:tabs>
        <w:spacing w:after="70" w:line="264" w:lineRule="auto"/>
        <w:ind w:left="460" w:hanging="460"/>
      </w:pPr>
      <w:r>
        <w:rPr>
          <w:b/>
          <w:bCs/>
          <w:color w:val="1F4E79"/>
          <w:sz w:val="19"/>
          <w:szCs w:val="19"/>
        </w:rPr>
        <w:t>[2]</w:t>
      </w:r>
      <w:r>
        <w:rPr>
          <w:sz w:val="19"/>
          <w:szCs w:val="19"/>
        </w:rPr>
        <w:tab/>
      </w:r>
      <w:hyperlink r:id="rId8" w:history="1">
        <w:proofErr w:type="spellStart"/>
        <w:r>
          <w:rPr>
            <w:color w:val="0563C1"/>
            <w:sz w:val="19"/>
            <w:szCs w:val="19"/>
            <w:u w:val="single"/>
          </w:rPr>
          <w:t>AuntMinnie</w:t>
        </w:r>
        <w:proofErr w:type="spellEnd"/>
        <w:r>
          <w:rPr>
            <w:color w:val="0563C1"/>
            <w:sz w:val="19"/>
            <w:szCs w:val="19"/>
            <w:u w:val="single"/>
          </w:rPr>
          <w:t>, “RSNA launches 2026 Knee Abnormality Detection AI Challenge”</w:t>
        </w:r>
      </w:hyperlink>
      <w:r>
        <w:rPr>
          <w:sz w:val="19"/>
          <w:szCs w:val="19"/>
        </w:rPr>
        <w:t xml:space="preserve"> — reports RSNA’s release; says the dataset used to assess models was annotated by expert radiologists</w:t>
      </w:r>
    </w:p>
    <w:p w14:paraId="10907A6C" w14:textId="77777777" w:rsidR="000D07F7" w:rsidRDefault="00000000">
      <w:pPr>
        <w:keepNext/>
        <w:spacing w:before="160" w:after="80"/>
      </w:pPr>
      <w:r>
        <w:rPr>
          <w:b/>
          <w:bCs/>
          <w:color w:val="404040"/>
          <w:sz w:val="20"/>
          <w:szCs w:val="20"/>
        </w:rPr>
        <w:t>Published research and teaching material</w:t>
      </w:r>
    </w:p>
    <w:p w14:paraId="11B534A3" w14:textId="77777777" w:rsidR="000D07F7" w:rsidRDefault="00000000">
      <w:pPr>
        <w:tabs>
          <w:tab w:val="left" w:pos="460"/>
        </w:tabs>
        <w:spacing w:after="70" w:line="264" w:lineRule="auto"/>
        <w:ind w:left="460" w:hanging="460"/>
      </w:pPr>
      <w:r>
        <w:rPr>
          <w:b/>
          <w:bCs/>
          <w:color w:val="1F4E79"/>
          <w:sz w:val="19"/>
          <w:szCs w:val="19"/>
        </w:rPr>
        <w:t>[3]</w:t>
      </w:r>
      <w:r>
        <w:rPr>
          <w:sz w:val="19"/>
          <w:szCs w:val="19"/>
        </w:rPr>
        <w:tab/>
      </w:r>
      <w:hyperlink r:id="rId9" w:history="1">
        <w:r>
          <w:rPr>
            <w:color w:val="0563C1"/>
            <w:sz w:val="19"/>
            <w:szCs w:val="19"/>
            <w:u w:val="single"/>
          </w:rPr>
          <w:t xml:space="preserve">McClure and </w:t>
        </w:r>
        <w:proofErr w:type="spellStart"/>
        <w:r>
          <w:rPr>
            <w:color w:val="0563C1"/>
            <w:sz w:val="19"/>
            <w:szCs w:val="19"/>
            <w:u w:val="single"/>
          </w:rPr>
          <w:t>Trunz</w:t>
        </w:r>
        <w:proofErr w:type="spellEnd"/>
        <w:r>
          <w:rPr>
            <w:color w:val="0563C1"/>
            <w:sz w:val="19"/>
            <w:szCs w:val="19"/>
            <w:u w:val="single"/>
          </w:rPr>
          <w:t>, “How to approach a knee MRI”</w:t>
        </w:r>
      </w:hyperlink>
      <w:r>
        <w:rPr>
          <w:sz w:val="19"/>
          <w:szCs w:val="19"/>
        </w:rPr>
        <w:t xml:space="preserve"> — teaching slides</w:t>
      </w:r>
    </w:p>
    <w:p w14:paraId="6FB11BEA" w14:textId="77777777" w:rsidR="000D07F7" w:rsidRDefault="00000000">
      <w:pPr>
        <w:tabs>
          <w:tab w:val="left" w:pos="460"/>
        </w:tabs>
        <w:spacing w:after="70" w:line="264" w:lineRule="auto"/>
        <w:ind w:left="460" w:hanging="460"/>
      </w:pPr>
      <w:r>
        <w:rPr>
          <w:b/>
          <w:bCs/>
          <w:color w:val="1F4E79"/>
          <w:sz w:val="19"/>
          <w:szCs w:val="19"/>
        </w:rPr>
        <w:t>[4]</w:t>
      </w:r>
      <w:r>
        <w:rPr>
          <w:sz w:val="19"/>
          <w:szCs w:val="19"/>
        </w:rPr>
        <w:tab/>
      </w:r>
      <w:hyperlink r:id="rId10" w:history="1">
        <w:proofErr w:type="spellStart"/>
        <w:r>
          <w:rPr>
            <w:color w:val="0563C1"/>
            <w:sz w:val="19"/>
            <w:szCs w:val="19"/>
            <w:u w:val="single"/>
          </w:rPr>
          <w:t>AuntMinnie</w:t>
        </w:r>
        <w:proofErr w:type="spellEnd"/>
        <w:r>
          <w:rPr>
            <w:color w:val="0563C1"/>
            <w:sz w:val="19"/>
            <w:szCs w:val="19"/>
            <w:u w:val="single"/>
          </w:rPr>
          <w:t xml:space="preserve"> Europe, “New workflow for knee MRI can boost efficiency”</w:t>
        </w:r>
      </w:hyperlink>
      <w:r>
        <w:rPr>
          <w:sz w:val="19"/>
          <w:szCs w:val="19"/>
        </w:rPr>
        <w:t xml:space="preserve"> — news report on a 2014 European radiology poster</w:t>
      </w:r>
    </w:p>
    <w:p w14:paraId="7888E3E1" w14:textId="77777777" w:rsidR="000D07F7" w:rsidRDefault="00000000">
      <w:pPr>
        <w:tabs>
          <w:tab w:val="left" w:pos="460"/>
        </w:tabs>
        <w:spacing w:after="70" w:line="264" w:lineRule="auto"/>
        <w:ind w:left="460" w:hanging="460"/>
      </w:pPr>
      <w:r>
        <w:rPr>
          <w:b/>
          <w:bCs/>
          <w:color w:val="1F4E79"/>
          <w:sz w:val="19"/>
          <w:szCs w:val="19"/>
        </w:rPr>
        <w:t>[5]</w:t>
      </w:r>
      <w:r>
        <w:rPr>
          <w:sz w:val="19"/>
          <w:szCs w:val="19"/>
        </w:rPr>
        <w:tab/>
      </w:r>
      <w:hyperlink r:id="rId11" w:history="1">
        <w:r>
          <w:rPr>
            <w:color w:val="0563C1"/>
            <w:sz w:val="19"/>
            <w:szCs w:val="19"/>
            <w:u w:val="single"/>
          </w:rPr>
          <w:t xml:space="preserve">Qiu et al., </w:t>
        </w:r>
        <w:proofErr w:type="spellStart"/>
        <w:r>
          <w:rPr>
            <w:color w:val="0563C1"/>
            <w:sz w:val="19"/>
            <w:szCs w:val="19"/>
            <w:u w:val="single"/>
          </w:rPr>
          <w:t>CoPAS</w:t>
        </w:r>
        <w:proofErr w:type="spellEnd"/>
        <w:r>
          <w:rPr>
            <w:color w:val="0563C1"/>
            <w:sz w:val="19"/>
            <w:szCs w:val="19"/>
            <w:u w:val="single"/>
          </w:rPr>
          <w:t>, Nature Communications 2024</w:t>
        </w:r>
      </w:hyperlink>
      <w:r>
        <w:rPr>
          <w:sz w:val="19"/>
          <w:szCs w:val="19"/>
        </w:rPr>
        <w:t xml:space="preserve"> — a model that reads each view separately</w:t>
      </w:r>
    </w:p>
    <w:p w14:paraId="369B22F4" w14:textId="77777777" w:rsidR="000D07F7" w:rsidRDefault="00000000">
      <w:pPr>
        <w:tabs>
          <w:tab w:val="left" w:pos="460"/>
        </w:tabs>
        <w:spacing w:after="70" w:line="264" w:lineRule="auto"/>
        <w:ind w:left="460" w:hanging="460"/>
      </w:pPr>
      <w:r>
        <w:rPr>
          <w:b/>
          <w:bCs/>
          <w:color w:val="1F4E79"/>
          <w:sz w:val="19"/>
          <w:szCs w:val="19"/>
        </w:rPr>
        <w:t>[6]</w:t>
      </w:r>
      <w:r>
        <w:rPr>
          <w:sz w:val="19"/>
          <w:szCs w:val="19"/>
        </w:rPr>
        <w:tab/>
      </w:r>
      <w:hyperlink r:id="rId12" w:history="1">
        <w:r>
          <w:rPr>
            <w:color w:val="0563C1"/>
            <w:sz w:val="19"/>
            <w:szCs w:val="19"/>
            <w:u w:val="single"/>
          </w:rPr>
          <w:t>You et al., “</w:t>
        </w:r>
        <w:proofErr w:type="spellStart"/>
        <w:r>
          <w:rPr>
            <w:color w:val="0563C1"/>
            <w:sz w:val="19"/>
            <w:szCs w:val="19"/>
            <w:u w:val="single"/>
          </w:rPr>
          <w:t>Pseudoradial</w:t>
        </w:r>
        <w:proofErr w:type="spellEnd"/>
        <w:r>
          <w:rPr>
            <w:color w:val="0563C1"/>
            <w:sz w:val="19"/>
            <w:szCs w:val="19"/>
            <w:u w:val="single"/>
          </w:rPr>
          <w:t xml:space="preserve"> tear of the medial meniscus”, J Korean Soc Magn </w:t>
        </w:r>
        <w:proofErr w:type="spellStart"/>
        <w:r>
          <w:rPr>
            <w:color w:val="0563C1"/>
            <w:sz w:val="19"/>
            <w:szCs w:val="19"/>
            <w:u w:val="single"/>
          </w:rPr>
          <w:t>Reson</w:t>
        </w:r>
        <w:proofErr w:type="spellEnd"/>
        <w:r>
          <w:rPr>
            <w:color w:val="0563C1"/>
            <w:sz w:val="19"/>
            <w:szCs w:val="19"/>
            <w:u w:val="single"/>
          </w:rPr>
          <w:t xml:space="preserve"> Med 2014</w:t>
        </w:r>
      </w:hyperlink>
      <w:r>
        <w:rPr>
          <w:sz w:val="19"/>
          <w:szCs w:val="19"/>
        </w:rPr>
        <w:t xml:space="preserve"> — normal structures that mimic meniscus tears</w:t>
      </w:r>
    </w:p>
    <w:p w14:paraId="7898B9FD" w14:textId="77777777" w:rsidR="000D07F7" w:rsidRDefault="00000000">
      <w:pPr>
        <w:tabs>
          <w:tab w:val="left" w:pos="460"/>
        </w:tabs>
        <w:spacing w:after="70" w:line="264" w:lineRule="auto"/>
        <w:ind w:left="460" w:hanging="460"/>
      </w:pPr>
      <w:r>
        <w:rPr>
          <w:b/>
          <w:bCs/>
          <w:color w:val="1F4E79"/>
          <w:sz w:val="19"/>
          <w:szCs w:val="19"/>
        </w:rPr>
        <w:t>[7]</w:t>
      </w:r>
      <w:r>
        <w:rPr>
          <w:sz w:val="19"/>
          <w:szCs w:val="19"/>
        </w:rPr>
        <w:tab/>
      </w:r>
      <w:hyperlink r:id="rId13" w:history="1">
        <w:r>
          <w:rPr>
            <w:color w:val="0563C1"/>
            <w:sz w:val="19"/>
            <w:szCs w:val="19"/>
            <w:u w:val="single"/>
          </w:rPr>
          <w:t xml:space="preserve">Faheem et al., marrow contusion patterns and associated injuries, Egypt J </w:t>
        </w:r>
        <w:proofErr w:type="spellStart"/>
        <w:r>
          <w:rPr>
            <w:color w:val="0563C1"/>
            <w:sz w:val="19"/>
            <w:szCs w:val="19"/>
            <w:u w:val="single"/>
          </w:rPr>
          <w:t>Radiol</w:t>
        </w:r>
        <w:proofErr w:type="spellEnd"/>
        <w:r>
          <w:rPr>
            <w:color w:val="0563C1"/>
            <w:sz w:val="19"/>
            <w:szCs w:val="19"/>
            <w:u w:val="single"/>
          </w:rPr>
          <w:t xml:space="preserve"> Nucl Med 2024</w:t>
        </w:r>
      </w:hyperlink>
      <w:r>
        <w:rPr>
          <w:sz w:val="19"/>
          <w:szCs w:val="19"/>
        </w:rPr>
        <w:t xml:space="preserve"> — 109 knees from one hospital</w:t>
      </w:r>
    </w:p>
    <w:p w14:paraId="16240677" w14:textId="77777777" w:rsidR="000D07F7" w:rsidRDefault="00000000">
      <w:pPr>
        <w:tabs>
          <w:tab w:val="left" w:pos="460"/>
        </w:tabs>
        <w:spacing w:after="70" w:line="264" w:lineRule="auto"/>
        <w:ind w:left="460" w:hanging="460"/>
      </w:pPr>
      <w:r>
        <w:rPr>
          <w:b/>
          <w:bCs/>
          <w:color w:val="1F4E79"/>
          <w:sz w:val="19"/>
          <w:szCs w:val="19"/>
        </w:rPr>
        <w:t>[8]</w:t>
      </w:r>
      <w:r>
        <w:rPr>
          <w:sz w:val="19"/>
          <w:szCs w:val="19"/>
        </w:rPr>
        <w:tab/>
      </w:r>
      <w:hyperlink r:id="rId14" w:history="1">
        <w:r>
          <w:rPr>
            <w:color w:val="0563C1"/>
            <w:sz w:val="19"/>
            <w:szCs w:val="19"/>
            <w:u w:val="single"/>
          </w:rPr>
          <w:t>De Smet et al., “Use of the two-slice-touch rule”, AJR 2006</w:t>
        </w:r>
      </w:hyperlink>
      <w:r>
        <w:rPr>
          <w:sz w:val="19"/>
          <w:szCs w:val="19"/>
        </w:rPr>
        <w:t xml:space="preserve"> — abstract</w:t>
      </w:r>
    </w:p>
    <w:p w14:paraId="7F18B7C0" w14:textId="77777777" w:rsidR="000D07F7" w:rsidRDefault="00000000">
      <w:pPr>
        <w:keepNext/>
        <w:spacing w:before="160" w:after="80"/>
      </w:pPr>
      <w:r>
        <w:rPr>
          <w:b/>
          <w:bCs/>
          <w:color w:val="404040"/>
          <w:sz w:val="20"/>
          <w:szCs w:val="20"/>
        </w:rPr>
        <w:t xml:space="preserve">One competitor’s public </w:t>
      </w:r>
      <w:proofErr w:type="gramStart"/>
      <w:r>
        <w:rPr>
          <w:b/>
          <w:bCs/>
          <w:color w:val="404040"/>
          <w:sz w:val="20"/>
          <w:szCs w:val="20"/>
        </w:rPr>
        <w:t>notes</w:t>
      </w:r>
      <w:proofErr w:type="gramEnd"/>
      <w:r>
        <w:rPr>
          <w:b/>
          <w:bCs/>
          <w:color w:val="404040"/>
          <w:sz w:val="20"/>
          <w:szCs w:val="20"/>
        </w:rPr>
        <w:t xml:space="preserve"> (unverified, not independently checked)</w:t>
      </w:r>
    </w:p>
    <w:p w14:paraId="724E4D9D" w14:textId="77777777" w:rsidR="000D07F7" w:rsidRDefault="00000000">
      <w:pPr>
        <w:tabs>
          <w:tab w:val="left" w:pos="460"/>
        </w:tabs>
        <w:spacing w:after="70" w:line="264" w:lineRule="auto"/>
        <w:ind w:left="460" w:hanging="460"/>
      </w:pPr>
      <w:r>
        <w:rPr>
          <w:b/>
          <w:bCs/>
          <w:color w:val="1F4E79"/>
          <w:sz w:val="19"/>
          <w:szCs w:val="19"/>
        </w:rPr>
        <w:t>[9]</w:t>
      </w:r>
      <w:r>
        <w:rPr>
          <w:sz w:val="19"/>
          <w:szCs w:val="19"/>
        </w:rPr>
        <w:tab/>
      </w:r>
      <w:hyperlink r:id="rId15" w:history="1">
        <w:r>
          <w:rPr>
            <w:color w:val="0563C1"/>
            <w:sz w:val="19"/>
            <w:szCs w:val="19"/>
            <w:u w:val="single"/>
          </w:rPr>
          <w:t>Competitor repo, docs/STRATEGY.md</w:t>
        </w:r>
      </w:hyperlink>
      <w:r>
        <w:rPr>
          <w:sz w:val="19"/>
          <w:szCs w:val="19"/>
        </w:rPr>
        <w:t xml:space="preserve"> — quotes the competition host’s label rules from Kaggle threads; also the source of the metric, the 58-of-4,407 count and the 82.5% report audit</w:t>
      </w:r>
    </w:p>
    <w:p w14:paraId="41046C75" w14:textId="77777777" w:rsidR="000D07F7" w:rsidRDefault="00000000">
      <w:pPr>
        <w:tabs>
          <w:tab w:val="left" w:pos="460"/>
        </w:tabs>
        <w:spacing w:after="70" w:line="264" w:lineRule="auto"/>
        <w:ind w:left="460" w:hanging="460"/>
      </w:pPr>
      <w:r>
        <w:rPr>
          <w:b/>
          <w:bCs/>
          <w:color w:val="1F4E79"/>
          <w:sz w:val="19"/>
          <w:szCs w:val="19"/>
        </w:rPr>
        <w:t>[10]</w:t>
      </w:r>
      <w:r>
        <w:rPr>
          <w:sz w:val="19"/>
          <w:szCs w:val="19"/>
        </w:rPr>
        <w:tab/>
      </w:r>
      <w:hyperlink r:id="rId16" w:history="1">
        <w:r>
          <w:rPr>
            <w:color w:val="0563C1"/>
            <w:sz w:val="19"/>
            <w:szCs w:val="19"/>
            <w:u w:val="single"/>
          </w:rPr>
          <w:t>Competitor repo, docs/FINDINGS.md</w:t>
        </w:r>
      </w:hyperlink>
      <w:r>
        <w:rPr>
          <w:sz w:val="19"/>
          <w:szCs w:val="19"/>
        </w:rPr>
        <w:t xml:space="preserve"> — the competitor’s own measurements, such as synovitis named in 11.9% of reports and half the scans lacking a left/right tag</w:t>
      </w:r>
    </w:p>
    <w:sectPr w:rsidR="000D07F7">
      <w:footerReference w:type="default" r:id="rId17"/>
      <w:pgSz w:w="12240" w:h="15840"/>
      <w:pgMar w:top="1000" w:right="1440" w:bottom="10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24BFFF" w14:textId="77777777" w:rsidR="00CB2049" w:rsidRDefault="00CB2049">
      <w:r>
        <w:separator/>
      </w:r>
    </w:p>
  </w:endnote>
  <w:endnote w:type="continuationSeparator" w:id="0">
    <w:p w14:paraId="31395D5F" w14:textId="77777777" w:rsidR="00CB2049" w:rsidRDefault="00CB20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55CDB6" w14:textId="77777777" w:rsidR="000D07F7" w:rsidRDefault="00000000">
    <w:pPr>
      <w:jc w:val="center"/>
    </w:pPr>
    <w:r>
      <w:rPr>
        <w:color w:val="7F7F7F"/>
        <w:sz w:val="16"/>
        <w:szCs w:val="16"/>
      </w:rPr>
      <w:t xml:space="preserve">Page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PAGE</w:instrText>
    </w:r>
    <w:r>
      <w:rPr>
        <w:color w:val="7F7F7F"/>
        <w:sz w:val="16"/>
        <w:szCs w:val="16"/>
      </w:rPr>
      <w:fldChar w:fldCharType="separate"/>
    </w:r>
    <w:r w:rsidR="00EF096E">
      <w:rPr>
        <w:noProof/>
        <w:color w:val="7F7F7F"/>
        <w:sz w:val="16"/>
        <w:szCs w:val="16"/>
      </w:rPr>
      <w:t>1</w:t>
    </w:r>
    <w:r>
      <w:rPr>
        <w:color w:val="7F7F7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1FFA48" w14:textId="77777777" w:rsidR="00CB2049" w:rsidRDefault="00CB2049">
      <w:r>
        <w:separator/>
      </w:r>
    </w:p>
  </w:footnote>
  <w:footnote w:type="continuationSeparator" w:id="0">
    <w:p w14:paraId="7DCB5EC6" w14:textId="77777777" w:rsidR="00CB2049" w:rsidRDefault="00CB20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14299"/>
    <w:multiLevelType w:val="hybridMultilevel"/>
    <w:tmpl w:val="426C8246"/>
    <w:lvl w:ilvl="0" w:tplc="42BA3980">
      <w:start w:val="1"/>
      <w:numFmt w:val="bullet"/>
      <w:lvlText w:val="●"/>
      <w:lvlJc w:val="left"/>
      <w:pPr>
        <w:ind w:left="720" w:hanging="360"/>
      </w:pPr>
    </w:lvl>
    <w:lvl w:ilvl="1" w:tplc="585ACF06">
      <w:start w:val="1"/>
      <w:numFmt w:val="bullet"/>
      <w:lvlText w:val="○"/>
      <w:lvlJc w:val="left"/>
      <w:pPr>
        <w:ind w:left="1440" w:hanging="360"/>
      </w:pPr>
    </w:lvl>
    <w:lvl w:ilvl="2" w:tplc="C0B21F24">
      <w:start w:val="1"/>
      <w:numFmt w:val="bullet"/>
      <w:lvlText w:val="■"/>
      <w:lvlJc w:val="left"/>
      <w:pPr>
        <w:ind w:left="2160" w:hanging="360"/>
      </w:pPr>
    </w:lvl>
    <w:lvl w:ilvl="3" w:tplc="EAE85AD2">
      <w:start w:val="1"/>
      <w:numFmt w:val="bullet"/>
      <w:lvlText w:val="●"/>
      <w:lvlJc w:val="left"/>
      <w:pPr>
        <w:ind w:left="2880" w:hanging="360"/>
      </w:pPr>
    </w:lvl>
    <w:lvl w:ilvl="4" w:tplc="BDC0FF7C">
      <w:start w:val="1"/>
      <w:numFmt w:val="bullet"/>
      <w:lvlText w:val="○"/>
      <w:lvlJc w:val="left"/>
      <w:pPr>
        <w:ind w:left="3600" w:hanging="360"/>
      </w:pPr>
    </w:lvl>
    <w:lvl w:ilvl="5" w:tplc="0234EBC0">
      <w:start w:val="1"/>
      <w:numFmt w:val="bullet"/>
      <w:lvlText w:val="■"/>
      <w:lvlJc w:val="left"/>
      <w:pPr>
        <w:ind w:left="4320" w:hanging="360"/>
      </w:pPr>
    </w:lvl>
    <w:lvl w:ilvl="6" w:tplc="A21EF47A">
      <w:start w:val="1"/>
      <w:numFmt w:val="bullet"/>
      <w:lvlText w:val="●"/>
      <w:lvlJc w:val="left"/>
      <w:pPr>
        <w:ind w:left="5040" w:hanging="360"/>
      </w:pPr>
    </w:lvl>
    <w:lvl w:ilvl="7" w:tplc="A66E6E88">
      <w:start w:val="1"/>
      <w:numFmt w:val="bullet"/>
      <w:lvlText w:val="●"/>
      <w:lvlJc w:val="left"/>
      <w:pPr>
        <w:ind w:left="5760" w:hanging="360"/>
      </w:pPr>
    </w:lvl>
    <w:lvl w:ilvl="8" w:tplc="F5D4579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8563392"/>
    <w:multiLevelType w:val="hybridMultilevel"/>
    <w:tmpl w:val="2AD82EE4"/>
    <w:lvl w:ilvl="0" w:tplc="65F257C2">
      <w:start w:val="1"/>
      <w:numFmt w:val="bullet"/>
      <w:lvlText w:val="•"/>
      <w:lvlJc w:val="left"/>
      <w:pPr>
        <w:ind w:left="460" w:hanging="280"/>
      </w:pPr>
    </w:lvl>
    <w:lvl w:ilvl="1" w:tplc="3B022B0C">
      <w:numFmt w:val="decimal"/>
      <w:lvlText w:val=""/>
      <w:lvlJc w:val="left"/>
    </w:lvl>
    <w:lvl w:ilvl="2" w:tplc="D81438F2">
      <w:numFmt w:val="decimal"/>
      <w:lvlText w:val=""/>
      <w:lvlJc w:val="left"/>
    </w:lvl>
    <w:lvl w:ilvl="3" w:tplc="0E985F7A">
      <w:numFmt w:val="decimal"/>
      <w:lvlText w:val=""/>
      <w:lvlJc w:val="left"/>
    </w:lvl>
    <w:lvl w:ilvl="4" w:tplc="509609D4">
      <w:numFmt w:val="decimal"/>
      <w:lvlText w:val=""/>
      <w:lvlJc w:val="left"/>
    </w:lvl>
    <w:lvl w:ilvl="5" w:tplc="76308240">
      <w:numFmt w:val="decimal"/>
      <w:lvlText w:val=""/>
      <w:lvlJc w:val="left"/>
    </w:lvl>
    <w:lvl w:ilvl="6" w:tplc="37F4E31A">
      <w:numFmt w:val="decimal"/>
      <w:lvlText w:val=""/>
      <w:lvlJc w:val="left"/>
    </w:lvl>
    <w:lvl w:ilvl="7" w:tplc="EE40D704">
      <w:numFmt w:val="decimal"/>
      <w:lvlText w:val=""/>
      <w:lvlJc w:val="left"/>
    </w:lvl>
    <w:lvl w:ilvl="8" w:tplc="3BBE579A">
      <w:numFmt w:val="decimal"/>
      <w:lvlText w:val=""/>
      <w:lvlJc w:val="left"/>
    </w:lvl>
  </w:abstractNum>
  <w:abstractNum w:abstractNumId="2" w15:restartNumberingAfterBreak="0">
    <w:nsid w:val="581E37CA"/>
    <w:multiLevelType w:val="hybridMultilevel"/>
    <w:tmpl w:val="F134EABA"/>
    <w:lvl w:ilvl="0" w:tplc="79123C2E">
      <w:start w:val="1"/>
      <w:numFmt w:val="decimal"/>
      <w:lvlText w:val="%1."/>
      <w:lvlJc w:val="left"/>
      <w:pPr>
        <w:ind w:left="460" w:hanging="360"/>
      </w:pPr>
    </w:lvl>
    <w:lvl w:ilvl="1" w:tplc="33BE6524">
      <w:numFmt w:val="decimal"/>
      <w:lvlText w:val=""/>
      <w:lvlJc w:val="left"/>
    </w:lvl>
    <w:lvl w:ilvl="2" w:tplc="B03C7626">
      <w:numFmt w:val="decimal"/>
      <w:lvlText w:val=""/>
      <w:lvlJc w:val="left"/>
    </w:lvl>
    <w:lvl w:ilvl="3" w:tplc="2AD4685E">
      <w:numFmt w:val="decimal"/>
      <w:lvlText w:val=""/>
      <w:lvlJc w:val="left"/>
    </w:lvl>
    <w:lvl w:ilvl="4" w:tplc="7C60112C">
      <w:numFmt w:val="decimal"/>
      <w:lvlText w:val=""/>
      <w:lvlJc w:val="left"/>
    </w:lvl>
    <w:lvl w:ilvl="5" w:tplc="46E89642">
      <w:numFmt w:val="decimal"/>
      <w:lvlText w:val=""/>
      <w:lvlJc w:val="left"/>
    </w:lvl>
    <w:lvl w:ilvl="6" w:tplc="051C7BAE">
      <w:numFmt w:val="decimal"/>
      <w:lvlText w:val=""/>
      <w:lvlJc w:val="left"/>
    </w:lvl>
    <w:lvl w:ilvl="7" w:tplc="1EEEDC56">
      <w:numFmt w:val="decimal"/>
      <w:lvlText w:val=""/>
      <w:lvlJc w:val="left"/>
    </w:lvl>
    <w:lvl w:ilvl="8" w:tplc="8B0E24F4">
      <w:numFmt w:val="decimal"/>
      <w:lvlText w:val=""/>
      <w:lvlJc w:val="left"/>
    </w:lvl>
  </w:abstractNum>
  <w:abstractNum w:abstractNumId="3" w15:restartNumberingAfterBreak="0">
    <w:nsid w:val="78442C55"/>
    <w:multiLevelType w:val="hybridMultilevel"/>
    <w:tmpl w:val="D5D292A4"/>
    <w:lvl w:ilvl="0" w:tplc="172E88D8">
      <w:start w:val="1"/>
      <w:numFmt w:val="decimal"/>
      <w:lvlText w:val="%1."/>
      <w:lvlJc w:val="left"/>
      <w:pPr>
        <w:ind w:left="460" w:hanging="360"/>
      </w:pPr>
    </w:lvl>
    <w:lvl w:ilvl="1" w:tplc="2976FFEC">
      <w:numFmt w:val="decimal"/>
      <w:lvlText w:val=""/>
      <w:lvlJc w:val="left"/>
    </w:lvl>
    <w:lvl w:ilvl="2" w:tplc="B00A1BB2">
      <w:numFmt w:val="decimal"/>
      <w:lvlText w:val=""/>
      <w:lvlJc w:val="left"/>
    </w:lvl>
    <w:lvl w:ilvl="3" w:tplc="CE02B2E8">
      <w:numFmt w:val="decimal"/>
      <w:lvlText w:val=""/>
      <w:lvlJc w:val="left"/>
    </w:lvl>
    <w:lvl w:ilvl="4" w:tplc="DD06CDD0">
      <w:numFmt w:val="decimal"/>
      <w:lvlText w:val=""/>
      <w:lvlJc w:val="left"/>
    </w:lvl>
    <w:lvl w:ilvl="5" w:tplc="347244B2">
      <w:numFmt w:val="decimal"/>
      <w:lvlText w:val=""/>
      <w:lvlJc w:val="left"/>
    </w:lvl>
    <w:lvl w:ilvl="6" w:tplc="E356F74A">
      <w:numFmt w:val="decimal"/>
      <w:lvlText w:val=""/>
      <w:lvlJc w:val="left"/>
    </w:lvl>
    <w:lvl w:ilvl="7" w:tplc="80302840">
      <w:numFmt w:val="decimal"/>
      <w:lvlText w:val=""/>
      <w:lvlJc w:val="left"/>
    </w:lvl>
    <w:lvl w:ilvl="8" w:tplc="7B3416F4">
      <w:numFmt w:val="decimal"/>
      <w:lvlText w:val=""/>
      <w:lvlJc w:val="left"/>
    </w:lvl>
  </w:abstractNum>
  <w:num w:numId="1" w16cid:durableId="236863167">
    <w:abstractNumId w:val="0"/>
    <w:lvlOverride w:ilvl="0">
      <w:startOverride w:val="1"/>
    </w:lvlOverride>
  </w:num>
  <w:num w:numId="2" w16cid:durableId="2066105645">
    <w:abstractNumId w:val="3"/>
    <w:lvlOverride w:ilvl="0">
      <w:startOverride w:val="1"/>
    </w:lvlOverride>
  </w:num>
  <w:num w:numId="3" w16cid:durableId="1269701750">
    <w:abstractNumId w:val="2"/>
    <w:lvlOverride w:ilvl="0">
      <w:startOverride w:val="1"/>
    </w:lvlOverride>
  </w:num>
  <w:num w:numId="4" w16cid:durableId="171719462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07F7"/>
    <w:rsid w:val="000D07F7"/>
    <w:rsid w:val="00830F44"/>
    <w:rsid w:val="00CB2049"/>
    <w:rsid w:val="00EF0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67E945"/>
  <w15:docId w15:val="{E23328E4-2EE1-604B-B41A-D8793CCB0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untminnie.com/imaging-informatics/artificial-intelligence/news/15831808/rsna-launches-2026-knee-abnormality-detection-ai-challenge" TargetMode="External"/><Relationship Id="rId13" Type="http://schemas.openxmlformats.org/officeDocument/2006/relationships/hyperlink" Target="https://link.springer.com/article/10.1186/s43055-024-01297-w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rsna.org/artificial-intelligence/ai-image-challenge/knee-mri-ai-challenge" TargetMode="External"/><Relationship Id="rId12" Type="http://schemas.openxmlformats.org/officeDocument/2006/relationships/hyperlink" Target="https://synapse.koreamed.org/articles/1011924" TargetMode="Externa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https://github.com/homeshwarnelakurthi/RSNA-Knee-Abnormality-Detection/blob/main/docs/FINDINGS.md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nature.com/articles/s41467-024-51888-4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github.com/homeshwarnelakurthi/RSNA-Knee-Abnormality-Detection/blob/main/docs/STRATEGY.md" TargetMode="External"/><Relationship Id="rId10" Type="http://schemas.openxmlformats.org/officeDocument/2006/relationships/hyperlink" Target="https://www.auntminnieeurope.com/clinical-news/article/15647569/new-workflow-for-knee-mri-can-boost-efficiency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aarad.org/assets/Affinity_Groups/ACER/Educator-Resources/How-to-Page/How%20to%20Approach%20a%20Knee%20MRIbd01.pdf" TargetMode="External"/><Relationship Id="rId14" Type="http://schemas.openxmlformats.org/officeDocument/2006/relationships/hyperlink" Target="https://www.qxmd.com/r/169851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1360</Words>
  <Characters>6478</Characters>
  <Application>Microsoft Office Word</Application>
  <DocSecurity>0</DocSecurity>
  <Lines>166</Lines>
  <Paragraphs>101</Paragraphs>
  <ScaleCrop>false</ScaleCrop>
  <Company/>
  <LinksUpToDate>false</LinksUpToDate>
  <CharactersWithSpaces>7737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RSNA Knee MRI: my feedback</dc:title>
  <dc:creator>Team</dc:creator>
  <cp:lastModifiedBy>Amitesh Khare</cp:lastModifiedBy>
  <cp:revision>2</cp:revision>
  <dcterms:created xsi:type="dcterms:W3CDTF">2026-10-13T16:46:00Z</dcterms:created>
  <dcterms:modified xsi:type="dcterms:W3CDTF">2026-10-13T16:52:00Z</dcterms:modified>
</cp:coreProperties>
</file>