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4AB908" w14:textId="21A9553B" w:rsidR="002D4690" w:rsidRDefault="00A4532B" w:rsidP="002D4690">
      <w:pPr>
        <w:rPr>
          <w:rFonts w:cs="Times New Roman"/>
          <w:b/>
          <w:bCs/>
          <w:szCs w:val="24"/>
        </w:rPr>
      </w:pPr>
      <w:r w:rsidRPr="00232806">
        <w:rPr>
          <w:rFonts w:cs="Times New Roman"/>
          <w:b/>
          <w:bCs/>
          <w:szCs w:val="24"/>
        </w:rPr>
        <w:t>Network Meta-Analysis of Cardiovascular Safety Comparing Gonadotropin-Releasing Hormone Antagonists and Agonists in Patients with Prostate Cancer</w:t>
      </w:r>
    </w:p>
    <w:p w14:paraId="2A131A2B" w14:textId="47A66791" w:rsidR="00F85417" w:rsidRDefault="00F85417" w:rsidP="00A312B5">
      <w:pPr>
        <w:ind w:left="0" w:firstLine="0"/>
        <w:rPr>
          <w:rFonts w:cs="Times New Roman"/>
          <w:b/>
          <w:bCs/>
          <w:szCs w:val="24"/>
        </w:rPr>
      </w:pPr>
    </w:p>
    <w:p w14:paraId="4849E97E" w14:textId="329570BF" w:rsidR="002D4690" w:rsidRPr="00232806" w:rsidRDefault="002D4690" w:rsidP="002D4690">
      <w:pPr>
        <w:rPr>
          <w:rFonts w:cs="Times New Roman"/>
          <w:b/>
          <w:bCs/>
          <w:szCs w:val="24"/>
        </w:rPr>
      </w:pPr>
      <w:r w:rsidRPr="002D4690">
        <w:rPr>
          <w:rFonts w:cs="Times New Roman"/>
          <w:b/>
          <w:bCs/>
          <w:szCs w:val="24"/>
        </w:rPr>
        <w:t>Abstract</w:t>
      </w:r>
    </w:p>
    <w:p w14:paraId="1A90CC33" w14:textId="77777777" w:rsidR="00772120" w:rsidRDefault="00772120" w:rsidP="00772120">
      <w:pPr>
        <w:pStyle w:val="break-words"/>
        <w:tabs>
          <w:tab w:val="left" w:pos="1170"/>
        </w:tabs>
        <w:ind w:left="1170"/>
        <w:jc w:val="both"/>
      </w:pPr>
      <w:r>
        <w:rPr>
          <w:rStyle w:val="Strong"/>
          <w:rFonts w:eastAsiaTheme="majorEastAsia"/>
        </w:rPr>
        <w:t>Background:</w:t>
      </w:r>
      <w:r>
        <w:t xml:space="preserve"> </w:t>
      </w:r>
      <w:r w:rsidRPr="00A312B5">
        <w:t xml:space="preserve">Prostate cancer, a prevalent malignancy in men, often requires androgen deprivation therapy (ADT) using gonadotropin-releasing hormone (GnRH) agonists (e.g., leuprolide, goserelin) or antagonists (e.g., </w:t>
      </w:r>
      <w:proofErr w:type="spellStart"/>
      <w:r w:rsidRPr="00A312B5">
        <w:t>degarelix</w:t>
      </w:r>
      <w:proofErr w:type="spellEnd"/>
      <w:r w:rsidRPr="00A312B5">
        <w:t>) to suppress testosterone. Both approaches have raised cardiovascular (CV) safety concerns. GnRH agonists cause an initial testosterone surge, potentially elevating CV risk, while antagonists avoid this. This review compared the CV safety of GnRH agonists and antagonists in prostate cancer treatment</w:t>
      </w:r>
    </w:p>
    <w:p w14:paraId="005AC19B" w14:textId="3FF6799F" w:rsidR="008362CA" w:rsidRDefault="00772120" w:rsidP="00772120">
      <w:pPr>
        <w:pStyle w:val="break-words"/>
        <w:tabs>
          <w:tab w:val="left" w:pos="1170"/>
        </w:tabs>
        <w:ind w:left="1170"/>
        <w:jc w:val="both"/>
      </w:pPr>
      <w:r>
        <w:rPr>
          <w:rStyle w:val="Strong"/>
          <w:rFonts w:eastAsiaTheme="majorEastAsia"/>
        </w:rPr>
        <w:t xml:space="preserve">Methods: </w:t>
      </w:r>
      <w:r w:rsidRPr="00A312B5">
        <w:rPr>
          <w:rStyle w:val="Strong"/>
          <w:rFonts w:eastAsiaTheme="majorEastAsia"/>
          <w:b w:val="0"/>
          <w:bCs w:val="0"/>
        </w:rPr>
        <w:t xml:space="preserve">A search of PubMed, </w:t>
      </w:r>
      <w:r w:rsidR="00A312B5" w:rsidRPr="00A312B5">
        <w:rPr>
          <w:rStyle w:val="Strong"/>
          <w:rFonts w:eastAsiaTheme="majorEastAsia"/>
          <w:b w:val="0"/>
          <w:bCs w:val="0"/>
        </w:rPr>
        <w:t>Embase, and Web of Science up to March 2025 identified studies comparing GnRH antagonists and agonists, focusing on CV outcomes like myocardial infarction, stroke, and major adverse cardiovascular events (MACE). Data were extracted using Nested Knowledge software, and study quality was assessed with the Newcastle-Ottawa Scale. A frequentist NMA in R software calculated risk ratios (RRs) with 95% confidence intervals (CIs), evaluating consistency, heterogeneity, and bias.</w:t>
      </w:r>
    </w:p>
    <w:p w14:paraId="34C2107B" w14:textId="2C2A35F0" w:rsidR="008362CA" w:rsidRDefault="008362CA" w:rsidP="00A312B5">
      <w:pPr>
        <w:pStyle w:val="break-words"/>
        <w:tabs>
          <w:tab w:val="left" w:pos="1170"/>
        </w:tabs>
        <w:ind w:left="1170"/>
        <w:jc w:val="both"/>
      </w:pPr>
      <w:r>
        <w:rPr>
          <w:rStyle w:val="Strong"/>
          <w:rFonts w:eastAsiaTheme="majorEastAsia"/>
        </w:rPr>
        <w:t>Results:</w:t>
      </w:r>
      <w:r>
        <w:t xml:space="preserve"> </w:t>
      </w:r>
      <w:r w:rsidR="00A312B5">
        <w:t xml:space="preserve">Of </w:t>
      </w:r>
      <w:r w:rsidR="00A312B5" w:rsidRPr="00A312B5">
        <w:t xml:space="preserve">5,952 studies, 8 were included in the NMA (sample sizes: 101–24,846). </w:t>
      </w:r>
      <w:proofErr w:type="spellStart"/>
      <w:r w:rsidR="00A312B5" w:rsidRPr="00A312B5">
        <w:t>Degarelix</w:t>
      </w:r>
      <w:proofErr w:type="spellEnd"/>
      <w:r w:rsidR="00A312B5" w:rsidRPr="00A312B5">
        <w:t xml:space="preserve"> showed lower CV risk (RR: 0.62, 95% CI: 0.41–0.95; SUCRA: 0.69) compared to GnRH agonists. Antiandrogens ranked highest for CV safety (SUCRA: 0.79; RR: 0.50, 95% CI: 0.21–1.18), while goserelin ranked lowest (SUCRA: 0.25; RR: 1.00, 95% CI: 0.37–2.66). Leuprolide (SUCRA: 0.54; RR: 0.70, 95% CI: 0.35–1.43) and triptorelin (SUCRA: 0.52; RR: 0.72, 95% CI: 0.27–1.94) showed no significant CV risk differences. High inconsistency (Q = 46.67, p &lt; 0.0001) and heterogeneity (I² = 89.7%) were noted, with minor publication bias per the funnel plot</w:t>
      </w:r>
    </w:p>
    <w:p w14:paraId="5CFB3CD8" w14:textId="77777777" w:rsidR="00A312B5" w:rsidRPr="00A312B5" w:rsidRDefault="00A92FB8" w:rsidP="00A312B5">
      <w:pPr>
        <w:tabs>
          <w:tab w:val="left" w:pos="1170"/>
        </w:tabs>
        <w:spacing w:after="160" w:line="259" w:lineRule="auto"/>
        <w:ind w:left="1170" w:firstLine="0"/>
        <w:jc w:val="both"/>
        <w:rPr>
          <w:rFonts w:eastAsia="Times New Roman" w:cs="Times New Roman"/>
          <w:color w:val="auto"/>
          <w:szCs w:val="24"/>
        </w:rPr>
      </w:pPr>
      <w:r>
        <w:rPr>
          <w:rFonts w:eastAsia="Times New Roman" w:cs="Times New Roman"/>
          <w:b/>
          <w:bCs/>
          <w:color w:val="auto"/>
          <w:szCs w:val="24"/>
        </w:rPr>
        <w:t xml:space="preserve">Conclusion: </w:t>
      </w:r>
      <w:proofErr w:type="spellStart"/>
      <w:r w:rsidR="00A312B5" w:rsidRPr="00A312B5">
        <w:rPr>
          <w:rFonts w:eastAsia="Times New Roman" w:cs="Times New Roman"/>
          <w:color w:val="auto"/>
          <w:szCs w:val="24"/>
        </w:rPr>
        <w:t>Degarelix</w:t>
      </w:r>
      <w:proofErr w:type="spellEnd"/>
      <w:r w:rsidR="00A312B5" w:rsidRPr="00A312B5">
        <w:rPr>
          <w:rFonts w:eastAsia="Times New Roman" w:cs="Times New Roman"/>
          <w:color w:val="auto"/>
          <w:szCs w:val="24"/>
        </w:rPr>
        <w:t xml:space="preserve"> demonstrated significantly lower CV risk compared to GnRH agonists, while antiandrogens suggested potential CV safety benefits, though not statistically significant. Among agonists, goserelin had the highest CV risk, followed by leuprolide and triptorelin, without notable differences. Large-scale randomized trials are needed to confirm these findings, considering patient-specific factors like baseline CV risk and comorbidities for personalized treatment decisions</w:t>
      </w:r>
    </w:p>
    <w:p w14:paraId="60491CA6" w14:textId="39B070D9" w:rsidR="00A312B5" w:rsidRDefault="00A92FB8" w:rsidP="00A312B5">
      <w:pPr>
        <w:rPr>
          <w:rFonts w:cs="Times New Roman"/>
          <w:b/>
          <w:bCs/>
          <w:szCs w:val="24"/>
        </w:rPr>
      </w:pPr>
      <w:r>
        <w:rPr>
          <w:rFonts w:eastAsia="Times New Roman" w:cs="Times New Roman"/>
          <w:b/>
          <w:bCs/>
          <w:color w:val="auto"/>
          <w:szCs w:val="24"/>
        </w:rPr>
        <w:t>Key words:</w:t>
      </w:r>
      <w:r>
        <w:rPr>
          <w:rFonts w:cs="Times New Roman"/>
          <w:b/>
          <w:bCs/>
          <w:szCs w:val="24"/>
        </w:rPr>
        <w:t xml:space="preserve"> </w:t>
      </w:r>
      <w:r w:rsidR="00A312B5" w:rsidRPr="00A312B5">
        <w:rPr>
          <w:rFonts w:cs="Times New Roman"/>
          <w:szCs w:val="24"/>
        </w:rPr>
        <w:t>Network meta-analysis, Cardiovascular, Prostate Cancer, Gonadotropin-Releasing Hormone Antagonists and Agonists</w:t>
      </w:r>
      <w:r w:rsidR="00A312B5" w:rsidRPr="00232806">
        <w:rPr>
          <w:rFonts w:cs="Times New Roman"/>
          <w:b/>
          <w:bCs/>
          <w:szCs w:val="24"/>
        </w:rPr>
        <w:t xml:space="preserve"> </w:t>
      </w:r>
    </w:p>
    <w:p w14:paraId="28BC8313" w14:textId="6FDCF26E" w:rsidR="00A92FB8" w:rsidRDefault="00A92FB8" w:rsidP="00A92FB8">
      <w:pPr>
        <w:tabs>
          <w:tab w:val="left" w:pos="1170"/>
        </w:tabs>
        <w:spacing w:after="160" w:line="259" w:lineRule="auto"/>
        <w:ind w:left="1170" w:firstLine="0"/>
        <w:jc w:val="both"/>
        <w:rPr>
          <w:rFonts w:cs="Times New Roman"/>
          <w:b/>
          <w:bCs/>
          <w:szCs w:val="24"/>
        </w:rPr>
      </w:pPr>
    </w:p>
    <w:p w14:paraId="29A524D1" w14:textId="77777777" w:rsidR="00E2469B" w:rsidRPr="00232806" w:rsidRDefault="00E2469B" w:rsidP="00557834">
      <w:pPr>
        <w:rPr>
          <w:rFonts w:cs="Times New Roman"/>
          <w:b/>
          <w:bCs/>
          <w:szCs w:val="24"/>
        </w:rPr>
      </w:pPr>
    </w:p>
    <w:p w14:paraId="15EBFB6F" w14:textId="77777777" w:rsidR="00E2469B" w:rsidRPr="00232806" w:rsidRDefault="00E2469B" w:rsidP="00A4532B">
      <w:pPr>
        <w:rPr>
          <w:rFonts w:cs="Times New Roman"/>
          <w:b/>
          <w:bCs/>
          <w:szCs w:val="24"/>
        </w:rPr>
      </w:pPr>
    </w:p>
    <w:p w14:paraId="6F968D92" w14:textId="77777777" w:rsidR="002A2147" w:rsidRDefault="002A2147">
      <w:pPr>
        <w:spacing w:after="160" w:line="259" w:lineRule="auto"/>
        <w:ind w:left="0" w:firstLine="0"/>
        <w:rPr>
          <w:rFonts w:cs="Times New Roman"/>
          <w:b/>
          <w:bCs/>
          <w:szCs w:val="24"/>
        </w:rPr>
      </w:pPr>
      <w:r>
        <w:rPr>
          <w:rFonts w:cs="Times New Roman"/>
          <w:b/>
          <w:bCs/>
          <w:szCs w:val="24"/>
        </w:rPr>
        <w:br w:type="page"/>
      </w:r>
    </w:p>
    <w:p w14:paraId="7525469E" w14:textId="5FD7A9B6" w:rsidR="004E265A" w:rsidRPr="00232806" w:rsidRDefault="00E2469B" w:rsidP="00A4532B">
      <w:pPr>
        <w:rPr>
          <w:rFonts w:cs="Times New Roman"/>
          <w:b/>
          <w:bCs/>
          <w:szCs w:val="24"/>
        </w:rPr>
      </w:pPr>
      <w:r w:rsidRPr="00232806">
        <w:rPr>
          <w:rFonts w:cs="Times New Roman"/>
          <w:b/>
          <w:bCs/>
          <w:szCs w:val="24"/>
        </w:rPr>
        <w:lastRenderedPageBreak/>
        <w:t>Introduction</w:t>
      </w:r>
    </w:p>
    <w:p w14:paraId="23F7078C" w14:textId="30CE1EB6" w:rsidR="00E2469B" w:rsidRDefault="00E2469B" w:rsidP="00E2469B">
      <w:pPr>
        <w:jc w:val="both"/>
        <w:rPr>
          <w:rFonts w:cs="Times New Roman"/>
          <w:szCs w:val="24"/>
        </w:rPr>
      </w:pPr>
      <w:r w:rsidRPr="00232806">
        <w:rPr>
          <w:rFonts w:cs="Times New Roman"/>
          <w:szCs w:val="24"/>
        </w:rPr>
        <w:t xml:space="preserve">Prostate cancer is a </w:t>
      </w:r>
      <w:r w:rsidR="00FE735A" w:rsidRPr="00232806">
        <w:rPr>
          <w:rFonts w:cs="Times New Roman"/>
          <w:szCs w:val="24"/>
        </w:rPr>
        <w:t>significant</w:t>
      </w:r>
      <w:r w:rsidRPr="00232806">
        <w:rPr>
          <w:rFonts w:cs="Times New Roman"/>
          <w:szCs w:val="24"/>
        </w:rPr>
        <w:t xml:space="preserve"> health concern, ranking as the second most common cancer among men worldwide, with over 1.4 million new cases reported in 2020</w:t>
      </w:r>
      <w:r w:rsidR="00A72A43">
        <w:rPr>
          <w:rFonts w:cs="Times New Roman"/>
          <w:szCs w:val="24"/>
        </w:rPr>
        <w:t xml:space="preserve"> </w:t>
      </w:r>
      <w:r w:rsidR="00A72A43">
        <w:rPr>
          <w:rFonts w:cs="Times New Roman"/>
          <w:szCs w:val="24"/>
        </w:rPr>
        <w:fldChar w:fldCharType="begin"/>
      </w:r>
      <w:r w:rsidR="00A72A43">
        <w:rPr>
          <w:rFonts w:cs="Times New Roman"/>
          <w:szCs w:val="24"/>
        </w:rPr>
        <w:instrText xml:space="preserve"> ADDIN EN.CITE &lt;EndNote&gt;&lt;Cite&gt;&lt;Author&gt;Wang&lt;/Author&gt;&lt;Year&gt;2022&lt;/Year&gt;&lt;RecNum&gt;1&lt;/RecNum&gt;&lt;DisplayText&gt;(1)&lt;/DisplayText&gt;&lt;record&gt;&lt;rec-number&gt;1&lt;/rec-number&gt;&lt;foreign-keys&gt;&lt;key app="EN" db-id="z0wzrepeuvref0et2t05pavhwzav92drt9ww" timestamp="1743573628"&gt;1&lt;/key&gt;&lt;/foreign-keys&gt;&lt;ref-type name="Journal Article"&gt;17&lt;/ref-type&gt;&lt;contributors&gt;&lt;authors&gt;&lt;author&gt;Wang, Le&lt;/author&gt;&lt;author&gt;Lu, Bin&lt;/author&gt;&lt;author&gt;He, Mengjie&lt;/author&gt;&lt;author&gt;Wang, Youqing&lt;/author&gt;&lt;author&gt;Wang, Zongping&lt;/author&gt;&lt;author&gt;Du, Lingbin&lt;/author&gt;&lt;/authors&gt;&lt;/contributors&gt;&lt;titles&gt;&lt;title&gt;Prostate cancer incidence and mortality: global status and temporal trends in 89 countries from 2000 to 2019&lt;/title&gt;&lt;secondary-title&gt;Frontiers in public health&lt;/secondary-title&gt;&lt;/titles&gt;&lt;periodical&gt;&lt;full-title&gt;Frontiers in public health&lt;/full-title&gt;&lt;/periodical&gt;&lt;pages&gt;811044&lt;/pages&gt;&lt;volume&gt;10&lt;/volume&gt;&lt;dates&gt;&lt;year&gt;2022&lt;/year&gt;&lt;/dates&gt;&lt;isbn&gt;2296-2565&lt;/isbn&gt;&lt;urls&gt;&lt;/urls&gt;&lt;/record&gt;&lt;/Cite&gt;&lt;/EndNote&gt;</w:instrText>
      </w:r>
      <w:r w:rsidR="00A72A43">
        <w:rPr>
          <w:rFonts w:cs="Times New Roman"/>
          <w:szCs w:val="24"/>
        </w:rPr>
        <w:fldChar w:fldCharType="separate"/>
      </w:r>
      <w:r w:rsidR="00A72A43">
        <w:rPr>
          <w:rFonts w:cs="Times New Roman"/>
          <w:noProof/>
          <w:szCs w:val="24"/>
        </w:rPr>
        <w:t>(1)</w:t>
      </w:r>
      <w:r w:rsidR="00A72A43">
        <w:rPr>
          <w:rFonts w:cs="Times New Roman"/>
          <w:szCs w:val="24"/>
        </w:rPr>
        <w:fldChar w:fldCharType="end"/>
      </w:r>
      <w:r w:rsidRPr="00232806">
        <w:rPr>
          <w:rFonts w:cs="Times New Roman"/>
          <w:szCs w:val="24"/>
        </w:rPr>
        <w:t xml:space="preserve">. For advanced cases, androgen deprivation therapy (ADT) is a standard treatment, reducing testosterone levels to slow tumor growth. Gonadotropin-releasing hormone (GnRH) agonists (e.g., leuprolide, goserelin) and antagonists (e.g., </w:t>
      </w:r>
      <w:proofErr w:type="spellStart"/>
      <w:r w:rsidRPr="00232806">
        <w:rPr>
          <w:rFonts w:cs="Times New Roman"/>
          <w:szCs w:val="24"/>
        </w:rPr>
        <w:t>degarelix</w:t>
      </w:r>
      <w:proofErr w:type="spellEnd"/>
      <w:r w:rsidRPr="00232806">
        <w:rPr>
          <w:rFonts w:cs="Times New Roman"/>
          <w:szCs w:val="24"/>
        </w:rPr>
        <w:t>) are key ADT options, differing in their approach to testosterone suppression</w:t>
      </w:r>
      <w:r w:rsidR="00A72A43">
        <w:rPr>
          <w:rFonts w:cs="Times New Roman"/>
          <w:szCs w:val="24"/>
        </w:rPr>
        <w:t xml:space="preserve"> </w:t>
      </w:r>
      <w:r w:rsidR="00A72A43">
        <w:rPr>
          <w:rFonts w:cs="Times New Roman"/>
          <w:szCs w:val="24"/>
        </w:rPr>
        <w:fldChar w:fldCharType="begin"/>
      </w:r>
      <w:r w:rsidR="00D63FA7">
        <w:rPr>
          <w:rFonts w:cs="Times New Roman"/>
          <w:szCs w:val="24"/>
        </w:rPr>
        <w:instrText xml:space="preserve"> ADDIN EN.CITE &lt;EndNote&gt;&lt;Cite&gt;&lt;Author&gt;Shore&lt;/Author&gt;&lt;Year&gt;2013&lt;/Year&gt;&lt;RecNum&gt;2&lt;/RecNum&gt;&lt;DisplayText&gt;(2, 3)&lt;/DisplayText&gt;&lt;record&gt;&lt;rec-number&gt;2&lt;/rec-number&gt;&lt;foreign-keys&gt;&lt;key app="EN" db-id="z0wzrepeuvref0et2t05pavhwzav92drt9ww" timestamp="1743573678"&gt;2&lt;/key&gt;&lt;/foreign-keys&gt;&lt;ref-type name="Journal Article"&gt;17&lt;/ref-type&gt;&lt;contributors&gt;&lt;authors&gt;&lt;author&gt;Shore, ND&lt;/author&gt;&lt;author&gt;Abrahamsson, Per-Anders&lt;/author&gt;&lt;author&gt;Anderson, J&lt;/author&gt;&lt;author&gt;Crawford, ED&lt;/author&gt;&lt;author&gt;Lange, P&lt;/author&gt;&lt;/authors&gt;&lt;/contributors&gt;&lt;titles&gt;&lt;title&gt;New considerations for ADT in advanced prostate cancer and the emerging role of GnRH antagonists&lt;/title&gt;&lt;secondary-title&gt;Prostate cancer and prostatic diseases&lt;/secondary-title&gt;&lt;/titles&gt;&lt;periodical&gt;&lt;full-title&gt;Prostate cancer and prostatic diseases&lt;/full-title&gt;&lt;/periodical&gt;&lt;pages&gt;7-15&lt;/pages&gt;&lt;volume&gt;16&lt;/volume&gt;&lt;number&gt;1&lt;/number&gt;&lt;dates&gt;&lt;year&gt;2013&lt;/year&gt;&lt;/dates&gt;&lt;isbn&gt;1476-5608&lt;/isbn&gt;&lt;urls&gt;&lt;/urls&gt;&lt;/record&gt;&lt;/Cite&gt;&lt;Cite&gt;&lt;Author&gt;Schröder&lt;/Author&gt;&lt;Year&gt;2012&lt;/Year&gt;&lt;RecNum&gt;15&lt;/RecNum&gt;&lt;record&gt;&lt;rec-number&gt;15&lt;/rec-number&gt;&lt;foreign-keys&gt;&lt;key app="EN" db-id="z0wzrepeuvref0et2t05pavhwzav92drt9ww" timestamp="1743574248"&gt;15&lt;/key&gt;&lt;/foreign-keys&gt;&lt;ref-type name="Journal Article"&gt;17&lt;/ref-type&gt;&lt;contributors&gt;&lt;authors&gt;&lt;author&gt;Schröder, Fritz&lt;/author&gt;&lt;author&gt;Crawford, ED&lt;/author&gt;&lt;author&gt;Axcrona, K&lt;/author&gt;&lt;author&gt;Payne, H&lt;/author&gt;&lt;author&gt;Keane, TE&lt;/author&gt;&lt;/authors&gt;&lt;/contributors&gt;&lt;titles&gt;&lt;title&gt;Androgen deprivation therapy: past, present and future&lt;/title&gt;&lt;secondary-title&gt;BJU international&lt;/secondary-title&gt;&lt;/titles&gt;&lt;periodical&gt;&lt;full-title&gt;BJU international&lt;/full-title&gt;&lt;/periodical&gt;&lt;pages&gt;1-12&lt;/pages&gt;&lt;volume&gt;109&lt;/volume&gt;&lt;dates&gt;&lt;year&gt;2012&lt;/year&gt;&lt;/dates&gt;&lt;isbn&gt;1464-4096&lt;/isbn&gt;&lt;urls&gt;&lt;/urls&gt;&lt;/record&gt;&lt;/Cite&gt;&lt;/EndNote&gt;</w:instrText>
      </w:r>
      <w:r w:rsidR="00A72A43">
        <w:rPr>
          <w:rFonts w:cs="Times New Roman"/>
          <w:szCs w:val="24"/>
        </w:rPr>
        <w:fldChar w:fldCharType="separate"/>
      </w:r>
      <w:r w:rsidR="00D63FA7">
        <w:rPr>
          <w:rFonts w:cs="Times New Roman"/>
          <w:noProof/>
          <w:szCs w:val="24"/>
        </w:rPr>
        <w:t>(2, 3)</w:t>
      </w:r>
      <w:r w:rsidR="00A72A43">
        <w:rPr>
          <w:rFonts w:cs="Times New Roman"/>
          <w:szCs w:val="24"/>
        </w:rPr>
        <w:fldChar w:fldCharType="end"/>
      </w:r>
      <w:r w:rsidRPr="00232806">
        <w:rPr>
          <w:rFonts w:cs="Times New Roman"/>
          <w:szCs w:val="24"/>
        </w:rPr>
        <w:t>. Agonists trigger an initial testosterone surge before achieving suppression, whereas antagonists block it immediately</w:t>
      </w:r>
      <w:r w:rsidR="00A72A43">
        <w:rPr>
          <w:rFonts w:cs="Times New Roman"/>
          <w:szCs w:val="24"/>
        </w:rPr>
        <w:fldChar w:fldCharType="begin"/>
      </w:r>
      <w:r w:rsidR="00D63FA7">
        <w:rPr>
          <w:rFonts w:cs="Times New Roman"/>
          <w:szCs w:val="24"/>
        </w:rPr>
        <w:instrText xml:space="preserve"> ADDIN EN.CITE &lt;EndNote&gt;&lt;Cite&gt;&lt;Author&gt;Van Poppel&lt;/Author&gt;&lt;Year&gt;2008&lt;/Year&gt;&lt;RecNum&gt;4&lt;/RecNum&gt;&lt;DisplayText&gt;(4)&lt;/DisplayText&gt;&lt;record&gt;&lt;rec-number&gt;4&lt;/rec-number&gt;&lt;foreign-keys&gt;&lt;key app="EN" db-id="z0wzrepeuvref0et2t05pavhwzav92drt9ww" timestamp="1743573733"&gt;4&lt;/key&gt;&lt;/foreign-keys&gt;&lt;ref-type name="Journal Article"&gt;17&lt;/ref-type&gt;&lt;contributors&gt;&lt;authors&gt;&lt;author&gt;Van Poppel, Hendrik&lt;/author&gt;&lt;author&gt;Nilsson, Sten&lt;/author&gt;&lt;/authors&gt;&lt;/contributors&gt;&lt;titles&gt;&lt;title&gt;Testosterone surge: rationale for gonadotropin-releasing hormone blockers?&lt;/title&gt;&lt;secondary-title&gt;Urology&lt;/secondary-title&gt;&lt;/titles&gt;&lt;periodical&gt;&lt;full-title&gt;Urology&lt;/full-title&gt;&lt;/periodical&gt;&lt;pages&gt;1001-1006&lt;/pages&gt;&lt;volume&gt;71&lt;/volume&gt;&lt;number&gt;6&lt;/number&gt;&lt;dates&gt;&lt;year&gt;2008&lt;/year&gt;&lt;/dates&gt;&lt;isbn&gt;0090-4295&lt;/isbn&gt;&lt;urls&gt;&lt;/urls&gt;&lt;/record&gt;&lt;/Cite&gt;&lt;/EndNote&gt;</w:instrText>
      </w:r>
      <w:r w:rsidR="00A72A43">
        <w:rPr>
          <w:rFonts w:cs="Times New Roman"/>
          <w:szCs w:val="24"/>
        </w:rPr>
        <w:fldChar w:fldCharType="separate"/>
      </w:r>
      <w:r w:rsidR="00D63FA7">
        <w:rPr>
          <w:rFonts w:cs="Times New Roman"/>
          <w:noProof/>
          <w:szCs w:val="24"/>
        </w:rPr>
        <w:t>(4)</w:t>
      </w:r>
      <w:r w:rsidR="00A72A43">
        <w:rPr>
          <w:rFonts w:cs="Times New Roman"/>
          <w:szCs w:val="24"/>
        </w:rPr>
        <w:fldChar w:fldCharType="end"/>
      </w:r>
      <w:r w:rsidRPr="00232806">
        <w:rPr>
          <w:rFonts w:cs="Times New Roman"/>
          <w:szCs w:val="24"/>
        </w:rPr>
        <w:t>. Though effective against cancer, both therapies have raised concerns about cardiovascular safety</w:t>
      </w:r>
      <w:r w:rsidR="00A72A43">
        <w:rPr>
          <w:rFonts w:cs="Times New Roman"/>
          <w:szCs w:val="24"/>
        </w:rPr>
        <w:fldChar w:fldCharType="begin"/>
      </w:r>
      <w:r w:rsidR="00D63FA7">
        <w:rPr>
          <w:rFonts w:cs="Times New Roman"/>
          <w:szCs w:val="24"/>
        </w:rPr>
        <w:instrText xml:space="preserve"> ADDIN EN.CITE &lt;EndNote&gt;&lt;Cite&gt;&lt;Author&gt;Herrmann&lt;/Author&gt;&lt;Year&gt;2020&lt;/Year&gt;&lt;RecNum&gt;5&lt;/RecNum&gt;&lt;DisplayText&gt;(5)&lt;/DisplayText&gt;&lt;record&gt;&lt;rec-number&gt;5&lt;/rec-number&gt;&lt;foreign-keys&gt;&lt;key app="EN" db-id="z0wzrepeuvref0et2t05pavhwzav92drt9ww" timestamp="1743573813"&gt;5&lt;/key&gt;&lt;/foreign-keys&gt;&lt;ref-type name="Journal Article"&gt;17&lt;/ref-type&gt;&lt;contributors&gt;&lt;authors&gt;&lt;author&gt;Herrmann, Joerg&lt;/author&gt;&lt;/authors&gt;&lt;/contributors&gt;&lt;titles&gt;&lt;title&gt;Vascular toxic effects of cancer therapies&lt;/title&gt;&lt;secondary-title&gt;Nature Reviews Cardiology&lt;/secondary-title&gt;&lt;/titles&gt;&lt;periodical&gt;&lt;full-title&gt;Nature Reviews Cardiology&lt;/full-title&gt;&lt;/periodical&gt;&lt;pages&gt;503-522&lt;/pages&gt;&lt;volume&gt;17&lt;/volume&gt;&lt;number&gt;8&lt;/number&gt;&lt;dates&gt;&lt;year&gt;2020&lt;/year&gt;&lt;/dates&gt;&lt;isbn&gt;1759-5002&lt;/isbn&gt;&lt;urls&gt;&lt;/urls&gt;&lt;/record&gt;&lt;/Cite&gt;&lt;/EndNote&gt;</w:instrText>
      </w:r>
      <w:r w:rsidR="00A72A43">
        <w:rPr>
          <w:rFonts w:cs="Times New Roman"/>
          <w:szCs w:val="24"/>
        </w:rPr>
        <w:fldChar w:fldCharType="separate"/>
      </w:r>
      <w:r w:rsidR="00D63FA7">
        <w:rPr>
          <w:rFonts w:cs="Times New Roman"/>
          <w:noProof/>
          <w:szCs w:val="24"/>
        </w:rPr>
        <w:t>(5)</w:t>
      </w:r>
      <w:r w:rsidR="00A72A43">
        <w:rPr>
          <w:rFonts w:cs="Times New Roman"/>
          <w:szCs w:val="24"/>
        </w:rPr>
        <w:fldChar w:fldCharType="end"/>
      </w:r>
      <w:r w:rsidRPr="00232806">
        <w:rPr>
          <w:rFonts w:cs="Times New Roman"/>
          <w:szCs w:val="24"/>
        </w:rPr>
        <w:t>.</w:t>
      </w:r>
    </w:p>
    <w:p w14:paraId="0D7207F2" w14:textId="77777777" w:rsidR="00CF2D22" w:rsidRPr="00232806" w:rsidRDefault="00CF2D22" w:rsidP="00E2469B">
      <w:pPr>
        <w:jc w:val="both"/>
        <w:rPr>
          <w:rFonts w:cs="Times New Roman"/>
          <w:szCs w:val="24"/>
        </w:rPr>
      </w:pPr>
    </w:p>
    <w:p w14:paraId="56E955A8" w14:textId="7829F542" w:rsidR="00E2469B" w:rsidRDefault="00E2469B" w:rsidP="00E2469B">
      <w:pPr>
        <w:jc w:val="both"/>
        <w:rPr>
          <w:rFonts w:cs="Times New Roman"/>
          <w:szCs w:val="24"/>
        </w:rPr>
      </w:pPr>
      <w:r w:rsidRPr="00232806">
        <w:rPr>
          <w:rFonts w:cs="Times New Roman"/>
          <w:szCs w:val="24"/>
        </w:rPr>
        <w:t>ADT’s cardiovascular risks emerged from studies linking it to increased rates of heart disease and stroke</w:t>
      </w:r>
      <w:r w:rsidR="00A72A43">
        <w:rPr>
          <w:rFonts w:cs="Times New Roman"/>
          <w:szCs w:val="24"/>
        </w:rPr>
        <w:fldChar w:fldCharType="begin"/>
      </w:r>
      <w:r w:rsidR="00D63FA7">
        <w:rPr>
          <w:rFonts w:cs="Times New Roman"/>
          <w:szCs w:val="24"/>
        </w:rPr>
        <w:instrText xml:space="preserve"> ADDIN EN.CITE &lt;EndNote&gt;&lt;Cite&gt;&lt;Author&gt;Levine&lt;/Author&gt;&lt;Year&gt;2010&lt;/Year&gt;&lt;RecNum&gt;6&lt;/RecNum&gt;&lt;DisplayText&gt;(6)&lt;/DisplayText&gt;&lt;record&gt;&lt;rec-number&gt;6&lt;/rec-number&gt;&lt;foreign-keys&gt;&lt;key app="EN" db-id="z0wzrepeuvref0et2t05pavhwzav92drt9ww" timestamp="1743573844"&gt;6&lt;/key&gt;&lt;/foreign-keys&gt;&lt;ref-type name="Journal Article"&gt;17&lt;/ref-type&gt;&lt;contributors&gt;&lt;authors&gt;&lt;author&gt;Levine, Glenn N&lt;/author&gt;&lt;author&gt;D&amp;apos;Amico, Anthony V&lt;/author&gt;&lt;author&gt;Berger, Peter&lt;/author&gt;&lt;author&gt;Clark, Peter E&lt;/author&gt;&lt;author&gt;Eckel, Robert H&lt;/author&gt;&lt;author&gt;Keating, Nancy L&lt;/author&gt;&lt;author&gt;Milani, Richard V&lt;/author&gt;&lt;author&gt;Sagalowsky, Arthur I&lt;/author&gt;&lt;author&gt;Smith, Matthew R&lt;/author&gt;&lt;author&gt;Zakai, Neil&lt;/author&gt;&lt;/authors&gt;&lt;/contributors&gt;&lt;titles&gt;&lt;title&gt;Androgen-deprivation therapy in prostate cancer and cardiovascular risk: a science advisory from the American Heart Association, American Cancer Society, and American Urological Association: endorsed by the American Society for Radiation Oncology&lt;/title&gt;&lt;secondary-title&gt;Circulation&lt;/secondary-title&gt;&lt;/titles&gt;&lt;periodical&gt;&lt;full-title&gt;Circulation&lt;/full-title&gt;&lt;/periodical&gt;&lt;pages&gt;833-840&lt;/pages&gt;&lt;volume&gt;121&lt;/volume&gt;&lt;number&gt;6&lt;/number&gt;&lt;dates&gt;&lt;year&gt;2010&lt;/year&gt;&lt;/dates&gt;&lt;isbn&gt;0009-7322&lt;/isbn&gt;&lt;urls&gt;&lt;/urls&gt;&lt;/record&gt;&lt;/Cite&gt;&lt;/EndNote&gt;</w:instrText>
      </w:r>
      <w:r w:rsidR="00A72A43">
        <w:rPr>
          <w:rFonts w:cs="Times New Roman"/>
          <w:szCs w:val="24"/>
        </w:rPr>
        <w:fldChar w:fldCharType="separate"/>
      </w:r>
      <w:r w:rsidR="00D63FA7">
        <w:rPr>
          <w:rFonts w:cs="Times New Roman"/>
          <w:noProof/>
          <w:szCs w:val="24"/>
        </w:rPr>
        <w:t>(6)</w:t>
      </w:r>
      <w:r w:rsidR="00A72A43">
        <w:rPr>
          <w:rFonts w:cs="Times New Roman"/>
          <w:szCs w:val="24"/>
        </w:rPr>
        <w:fldChar w:fldCharType="end"/>
      </w:r>
      <w:r w:rsidRPr="00232806">
        <w:rPr>
          <w:rFonts w:cs="Times New Roman"/>
          <w:szCs w:val="24"/>
        </w:rPr>
        <w:t>. Research indicates that ADT elevates fat mass, insulin resistance, and cholesterol levels—key triggers of heart problems</w:t>
      </w:r>
      <w:r w:rsidR="00A72A43">
        <w:rPr>
          <w:rFonts w:cs="Times New Roman"/>
          <w:szCs w:val="24"/>
        </w:rPr>
        <w:fldChar w:fldCharType="begin"/>
      </w:r>
      <w:r w:rsidR="00D63FA7">
        <w:rPr>
          <w:rFonts w:cs="Times New Roman"/>
          <w:szCs w:val="24"/>
        </w:rPr>
        <w:instrText xml:space="preserve"> ADDIN EN.CITE &lt;EndNote&gt;&lt;Cite&gt;&lt;Author&gt;Kintzel&lt;/Author&gt;&lt;Year&gt;2008&lt;/Year&gt;&lt;RecNum&gt;7&lt;/RecNum&gt;&lt;DisplayText&gt;(7)&lt;/DisplayText&gt;&lt;record&gt;&lt;rec-number&gt;7&lt;/rec-number&gt;&lt;foreign-keys&gt;&lt;key app="EN" db-id="z0wzrepeuvref0et2t05pavhwzav92drt9ww" timestamp="1743573866"&gt;7&lt;/key&gt;&lt;/foreign-keys&gt;&lt;ref-type name="Journal Article"&gt;17&lt;/ref-type&gt;&lt;contributors&gt;&lt;authors&gt;&lt;author&gt;Kintzel, Polly E&lt;/author&gt;&lt;author&gt;Chase, Sandra L&lt;/author&gt;&lt;author&gt;Schultz, Lisa M&lt;/author&gt;&lt;author&gt;O&amp;apos;Rourke, Timothy J&lt;/author&gt;&lt;/authors&gt;&lt;/contributors&gt;&lt;titles&gt;&lt;title&gt;Increased risk of metabolic syndrome, diabetes mellitus, and cardiovascular disease in men receiving androgen deprivation therapy for prostate cancer&lt;/title&gt;&lt;secondary-title&gt;Pharmacotherapy: The Journal of Human Pharmacology and Drug Therapy&lt;/secondary-title&gt;&lt;/titles&gt;&lt;periodical&gt;&lt;full-title&gt;Pharmacotherapy: The Journal of Human Pharmacology and Drug Therapy&lt;/full-title&gt;&lt;/periodical&gt;&lt;pages&gt;1511-1522&lt;/pages&gt;&lt;volume&gt;28&lt;/volume&gt;&lt;number&gt;12&lt;/number&gt;&lt;dates&gt;&lt;year&gt;2008&lt;/year&gt;&lt;/dates&gt;&lt;isbn&gt;0277-0008&lt;/isbn&gt;&lt;urls&gt;&lt;/urls&gt;&lt;/record&gt;&lt;/Cite&gt;&lt;/EndNote&gt;</w:instrText>
      </w:r>
      <w:r w:rsidR="00A72A43">
        <w:rPr>
          <w:rFonts w:cs="Times New Roman"/>
          <w:szCs w:val="24"/>
        </w:rPr>
        <w:fldChar w:fldCharType="separate"/>
      </w:r>
      <w:r w:rsidR="00D63FA7">
        <w:rPr>
          <w:rFonts w:cs="Times New Roman"/>
          <w:noProof/>
          <w:szCs w:val="24"/>
        </w:rPr>
        <w:t>(7)</w:t>
      </w:r>
      <w:r w:rsidR="00A72A43">
        <w:rPr>
          <w:rFonts w:cs="Times New Roman"/>
          <w:szCs w:val="24"/>
        </w:rPr>
        <w:fldChar w:fldCharType="end"/>
      </w:r>
      <w:r w:rsidRPr="00232806">
        <w:rPr>
          <w:rFonts w:cs="Times New Roman"/>
          <w:szCs w:val="24"/>
        </w:rPr>
        <w:t xml:space="preserve">. GnRH agonists may heighten this risk due to the initial testosterone flare, while antagonists like </w:t>
      </w:r>
      <w:proofErr w:type="spellStart"/>
      <w:r w:rsidRPr="00232806">
        <w:rPr>
          <w:rFonts w:cs="Times New Roman"/>
          <w:szCs w:val="24"/>
        </w:rPr>
        <w:t>degarelix</w:t>
      </w:r>
      <w:proofErr w:type="spellEnd"/>
      <w:r w:rsidRPr="00232806">
        <w:rPr>
          <w:rFonts w:cs="Times New Roman"/>
          <w:szCs w:val="24"/>
        </w:rPr>
        <w:t>, which avoid this surge, could be safer</w:t>
      </w:r>
      <w:r w:rsidR="00A72A43">
        <w:rPr>
          <w:rFonts w:cs="Times New Roman"/>
          <w:szCs w:val="24"/>
        </w:rPr>
        <w:fldChar w:fldCharType="begin"/>
      </w:r>
      <w:r w:rsidR="00D63FA7">
        <w:rPr>
          <w:rFonts w:cs="Times New Roman"/>
          <w:szCs w:val="24"/>
        </w:rPr>
        <w:instrText xml:space="preserve"> ADDIN EN.CITE &lt;EndNote&gt;&lt;Cite&gt;&lt;Author&gt;Freedland&lt;/Author&gt;&lt;Year&gt;2021&lt;/Year&gt;&lt;RecNum&gt;8&lt;/RecNum&gt;&lt;DisplayText&gt;(8)&lt;/DisplayText&gt;&lt;record&gt;&lt;rec-number&gt;8&lt;/rec-number&gt;&lt;foreign-keys&gt;&lt;key app="EN" db-id="z0wzrepeuvref0et2t05pavhwzav92drt9ww" timestamp="1743573892"&gt;8&lt;/key&gt;&lt;/foreign-keys&gt;&lt;ref-type name="Journal Article"&gt;17&lt;/ref-type&gt;&lt;contributors&gt;&lt;authors&gt;&lt;author&gt;Freedland, Stephen J&lt;/author&gt;&lt;author&gt;Abrahamsson, Per-Anders&lt;/author&gt;&lt;/authors&gt;&lt;/contributors&gt;&lt;titles&gt;&lt;title&gt;Androgen deprivation therapy and side effects: are GnRH antagonists safer?&lt;/title&gt;&lt;secondary-title&gt;Asian Journal of Andrology&lt;/secondary-title&gt;&lt;/titles&gt;&lt;periodical&gt;&lt;full-title&gt;Asian Journal of Andrology&lt;/full-title&gt;&lt;/periodical&gt;&lt;pages&gt;3-10&lt;/pages&gt;&lt;volume&gt;23&lt;/volume&gt;&lt;number&gt;1&lt;/number&gt;&lt;dates&gt;&lt;year&gt;2021&lt;/year&gt;&lt;/dates&gt;&lt;isbn&gt;1008-682X&lt;/isbn&gt;&lt;urls&gt;&lt;/urls&gt;&lt;/record&gt;&lt;/Cite&gt;&lt;/EndNote&gt;</w:instrText>
      </w:r>
      <w:r w:rsidR="00A72A43">
        <w:rPr>
          <w:rFonts w:cs="Times New Roman"/>
          <w:szCs w:val="24"/>
        </w:rPr>
        <w:fldChar w:fldCharType="separate"/>
      </w:r>
      <w:r w:rsidR="00D63FA7">
        <w:rPr>
          <w:rFonts w:cs="Times New Roman"/>
          <w:noProof/>
          <w:szCs w:val="24"/>
        </w:rPr>
        <w:t>(8)</w:t>
      </w:r>
      <w:r w:rsidR="00A72A43">
        <w:rPr>
          <w:rFonts w:cs="Times New Roman"/>
          <w:szCs w:val="24"/>
        </w:rPr>
        <w:fldChar w:fldCharType="end"/>
      </w:r>
      <w:r w:rsidRPr="00232806">
        <w:rPr>
          <w:rFonts w:cs="Times New Roman"/>
          <w:szCs w:val="24"/>
        </w:rPr>
        <w:t xml:space="preserve">. Early trials suggest </w:t>
      </w:r>
      <w:proofErr w:type="spellStart"/>
      <w:r w:rsidRPr="00232806">
        <w:rPr>
          <w:rFonts w:cs="Times New Roman"/>
          <w:szCs w:val="24"/>
        </w:rPr>
        <w:t>degarelix</w:t>
      </w:r>
      <w:proofErr w:type="spellEnd"/>
      <w:r w:rsidRPr="00232806">
        <w:rPr>
          <w:rFonts w:cs="Times New Roman"/>
          <w:szCs w:val="24"/>
        </w:rPr>
        <w:t xml:space="preserve"> is associated with fewer cardiovascular events than agonists in some patients, though findings vary across studies</w:t>
      </w:r>
      <w:r w:rsidR="00A72A43">
        <w:rPr>
          <w:rFonts w:cs="Times New Roman"/>
          <w:szCs w:val="24"/>
        </w:rPr>
        <w:fldChar w:fldCharType="begin"/>
      </w:r>
      <w:r w:rsidR="00D63FA7">
        <w:rPr>
          <w:rFonts w:cs="Times New Roman"/>
          <w:szCs w:val="24"/>
        </w:rPr>
        <w:instrText xml:space="preserve"> ADDIN EN.CITE &lt;EndNote&gt;&lt;Cite&gt;&lt;Author&gt;Smith&lt;/Author&gt;&lt;Year&gt;2011&lt;/Year&gt;&lt;RecNum&gt;9&lt;/RecNum&gt;&lt;DisplayText&gt;(9)&lt;/DisplayText&gt;&lt;record&gt;&lt;rec-number&gt;9&lt;/rec-number&gt;&lt;foreign-keys&gt;&lt;key app="EN" db-id="z0wzrepeuvref0et2t05pavhwzav92drt9ww" timestamp="1743573912"&gt;9&lt;/key&gt;&lt;/foreign-keys&gt;&lt;ref-type name="Journal Article"&gt;17&lt;/ref-type&gt;&lt;contributors&gt;&lt;authors&gt;&lt;author&gt;Smith, Matthew R&lt;/author&gt;&lt;author&gt;Klotz, Laurence&lt;/author&gt;&lt;author&gt;van der Meulen, Egbert&lt;/author&gt;&lt;author&gt;Colli, Enrico&lt;/author&gt;&lt;author&gt;Tankó, László B&lt;/author&gt;&lt;/authors&gt;&lt;/contributors&gt;&lt;titles&gt;&lt;title&gt;Gonadotropin-releasing hormone blockers and cardiovascular disease risk: analysis of prospective clinical trials of degarelix&lt;/title&gt;&lt;secondary-title&gt;The Journal of urology&lt;/secondary-title&gt;&lt;/titles&gt;&lt;periodical&gt;&lt;full-title&gt;The Journal of urology&lt;/full-title&gt;&lt;/periodical&gt;&lt;pages&gt;1835-1842&lt;/pages&gt;&lt;volume&gt;186&lt;/volume&gt;&lt;number&gt;5&lt;/number&gt;&lt;dates&gt;&lt;year&gt;2011&lt;/year&gt;&lt;/dates&gt;&lt;isbn&gt;0022-5347&lt;/isbn&gt;&lt;urls&gt;&lt;/urls&gt;&lt;/record&gt;&lt;/Cite&gt;&lt;/EndNote&gt;</w:instrText>
      </w:r>
      <w:r w:rsidR="00A72A43">
        <w:rPr>
          <w:rFonts w:cs="Times New Roman"/>
          <w:szCs w:val="24"/>
        </w:rPr>
        <w:fldChar w:fldCharType="separate"/>
      </w:r>
      <w:r w:rsidR="00D63FA7">
        <w:rPr>
          <w:rFonts w:cs="Times New Roman"/>
          <w:noProof/>
          <w:szCs w:val="24"/>
        </w:rPr>
        <w:t>(9)</w:t>
      </w:r>
      <w:r w:rsidR="00A72A43">
        <w:rPr>
          <w:rFonts w:cs="Times New Roman"/>
          <w:szCs w:val="24"/>
        </w:rPr>
        <w:fldChar w:fldCharType="end"/>
      </w:r>
      <w:r w:rsidRPr="00232806">
        <w:rPr>
          <w:rFonts w:cs="Times New Roman"/>
          <w:szCs w:val="24"/>
        </w:rPr>
        <w:t>. Real-world data from diverse patient groups often yield conflicting results, complicating treatment decisions</w:t>
      </w:r>
      <w:r w:rsidR="00A72A43">
        <w:rPr>
          <w:rFonts w:cs="Times New Roman"/>
          <w:szCs w:val="24"/>
        </w:rPr>
        <w:fldChar w:fldCharType="begin"/>
      </w:r>
      <w:r w:rsidR="00D63FA7">
        <w:rPr>
          <w:rFonts w:cs="Times New Roman"/>
          <w:szCs w:val="24"/>
        </w:rPr>
        <w:instrText xml:space="preserve"> ADDIN EN.CITE &lt;EndNote&gt;&lt;Cite&gt;&lt;Author&gt;Garrison Jr&lt;/Author&gt;&lt;Year&gt;2007&lt;/Year&gt;&lt;RecNum&gt;10&lt;/RecNum&gt;&lt;DisplayText&gt;(10)&lt;/DisplayText&gt;&lt;record&gt;&lt;rec-number&gt;10&lt;/rec-number&gt;&lt;foreign-keys&gt;&lt;key app="EN" db-id="z0wzrepeuvref0et2t05pavhwzav92drt9ww" timestamp="1743573939"&gt;10&lt;/key&gt;&lt;/foreign-keys&gt;&lt;ref-type name="Journal Article"&gt;17&lt;/ref-type&gt;&lt;contributors&gt;&lt;authors&gt;&lt;author&gt;Garrison Jr, Louis P&lt;/author&gt;&lt;author&gt;Neumann, Peter J&lt;/author&gt;&lt;author&gt;Erickson, Pennifer&lt;/author&gt;&lt;author&gt;Marshall, Deborah&lt;/author&gt;&lt;author&gt;Mullins, C Daniel&lt;/author&gt;&lt;/authors&gt;&lt;/contributors&gt;&lt;titles&gt;&lt;title&gt;Using real‐world data for coverage and payment decisions: the ISPOR real‐world data task force report&lt;/title&gt;&lt;secondary-title&gt;Value in health&lt;/secondary-title&gt;&lt;/titles&gt;&lt;periodical&gt;&lt;full-title&gt;Value in health&lt;/full-title&gt;&lt;/periodical&gt;&lt;pages&gt;326-335&lt;/pages&gt;&lt;volume&gt;10&lt;/volume&gt;&lt;number&gt;5&lt;/number&gt;&lt;dates&gt;&lt;year&gt;2007&lt;/year&gt;&lt;/dates&gt;&lt;isbn&gt;1098-3015&lt;/isbn&gt;&lt;urls&gt;&lt;/urls&gt;&lt;/record&gt;&lt;/Cite&gt;&lt;/EndNote&gt;</w:instrText>
      </w:r>
      <w:r w:rsidR="00A72A43">
        <w:rPr>
          <w:rFonts w:cs="Times New Roman"/>
          <w:szCs w:val="24"/>
        </w:rPr>
        <w:fldChar w:fldCharType="separate"/>
      </w:r>
      <w:r w:rsidR="00D63FA7">
        <w:rPr>
          <w:rFonts w:cs="Times New Roman"/>
          <w:noProof/>
          <w:szCs w:val="24"/>
        </w:rPr>
        <w:t>(10)</w:t>
      </w:r>
      <w:r w:rsidR="00A72A43">
        <w:rPr>
          <w:rFonts w:cs="Times New Roman"/>
          <w:szCs w:val="24"/>
        </w:rPr>
        <w:fldChar w:fldCharType="end"/>
      </w:r>
      <w:r w:rsidRPr="00232806">
        <w:rPr>
          <w:rFonts w:cs="Times New Roman"/>
          <w:szCs w:val="24"/>
        </w:rPr>
        <w:t xml:space="preserve">. Randomized trials, despite their rigor, frequently lack the scale or diversity </w:t>
      </w:r>
      <w:r w:rsidR="00B0744E">
        <w:rPr>
          <w:rFonts w:cs="Times New Roman"/>
          <w:szCs w:val="24"/>
        </w:rPr>
        <w:t>to evaluate rare outcomes like heart attacks fully</w:t>
      </w:r>
      <w:r w:rsidR="00A72A43">
        <w:rPr>
          <w:rFonts w:cs="Times New Roman"/>
          <w:szCs w:val="24"/>
        </w:rPr>
        <w:t xml:space="preserve"> </w:t>
      </w:r>
      <w:r w:rsidR="00A72A43">
        <w:rPr>
          <w:rFonts w:cs="Times New Roman"/>
          <w:szCs w:val="24"/>
        </w:rPr>
        <w:fldChar w:fldCharType="begin"/>
      </w:r>
      <w:r w:rsidR="00D63FA7">
        <w:rPr>
          <w:rFonts w:cs="Times New Roman"/>
          <w:szCs w:val="24"/>
        </w:rPr>
        <w:instrText xml:space="preserve"> ADDIN EN.CITE &lt;EndNote&gt;&lt;Cite&gt;&lt;Author&gt;Nallamothu&lt;/Author&gt;&lt;Year&gt;2008&lt;/Year&gt;&lt;RecNum&gt;11&lt;/RecNum&gt;&lt;DisplayText&gt;(11)&lt;/DisplayText&gt;&lt;record&gt;&lt;rec-number&gt;11&lt;/rec-number&gt;&lt;foreign-keys&gt;&lt;key app="EN" db-id="z0wzrepeuvref0et2t05pavhwzav92drt9ww" timestamp="1743573989"&gt;11&lt;/key&gt;&lt;/foreign-keys&gt;&lt;ref-type name="Journal Article"&gt;17&lt;/ref-type&gt;&lt;contributors&gt;&lt;authors&gt;&lt;author&gt;Nallamothu, Brahmajee K&lt;/author&gt;&lt;author&gt;Hayward, Rodney A&lt;/author&gt;&lt;author&gt;Bates, Eric R&lt;/author&gt;&lt;/authors&gt;&lt;/contributors&gt;&lt;titles&gt;&lt;title&gt;Beyond the randomized clinical trial: the role of effectiveness studies in evaluating cardiovascular therapies&lt;/title&gt;&lt;secondary-title&gt;Circulation&lt;/secondary-title&gt;&lt;/titles&gt;&lt;periodical&gt;&lt;full-title&gt;Circulation&lt;/full-title&gt;&lt;/periodical&gt;&lt;pages&gt;1294-1303&lt;/pages&gt;&lt;volume&gt;118&lt;/volume&gt;&lt;number&gt;12&lt;/number&gt;&lt;dates&gt;&lt;year&gt;2008&lt;/year&gt;&lt;/dates&gt;&lt;isbn&gt;0009-7322&lt;/isbn&gt;&lt;urls&gt;&lt;/urls&gt;&lt;/record&gt;&lt;/Cite&gt;&lt;/EndNote&gt;</w:instrText>
      </w:r>
      <w:r w:rsidR="00A72A43">
        <w:rPr>
          <w:rFonts w:cs="Times New Roman"/>
          <w:szCs w:val="24"/>
        </w:rPr>
        <w:fldChar w:fldCharType="separate"/>
      </w:r>
      <w:r w:rsidR="00D63FA7">
        <w:rPr>
          <w:rFonts w:cs="Times New Roman"/>
          <w:noProof/>
          <w:szCs w:val="24"/>
        </w:rPr>
        <w:t>(11)</w:t>
      </w:r>
      <w:r w:rsidR="00A72A43">
        <w:rPr>
          <w:rFonts w:cs="Times New Roman"/>
          <w:szCs w:val="24"/>
        </w:rPr>
        <w:fldChar w:fldCharType="end"/>
      </w:r>
      <w:r w:rsidRPr="00232806">
        <w:rPr>
          <w:rFonts w:cs="Times New Roman"/>
          <w:szCs w:val="24"/>
        </w:rPr>
        <w:t>. In contrast, real-world evidence from databases and registries offers a broader perspective, capturing older patients or those with pre-existing heart conditions</w:t>
      </w:r>
      <w:r w:rsidR="00B0744E">
        <w:rPr>
          <w:rFonts w:cs="Times New Roman"/>
          <w:szCs w:val="24"/>
        </w:rPr>
        <w:t xml:space="preserve">, </w:t>
      </w:r>
      <w:r w:rsidRPr="00232806">
        <w:rPr>
          <w:rFonts w:cs="Times New Roman"/>
          <w:szCs w:val="24"/>
        </w:rPr>
        <w:t>common in prostate cancer</w:t>
      </w:r>
      <w:r w:rsidR="00A72A43">
        <w:rPr>
          <w:rFonts w:cs="Times New Roman"/>
          <w:szCs w:val="24"/>
        </w:rPr>
        <w:fldChar w:fldCharType="begin"/>
      </w:r>
      <w:r w:rsidR="00D63FA7">
        <w:rPr>
          <w:rFonts w:cs="Times New Roman"/>
          <w:szCs w:val="24"/>
        </w:rPr>
        <w:instrText xml:space="preserve"> ADDIN EN.CITE &lt;EndNote&gt;&lt;Cite&gt;&lt;Author&gt;Kokkotou&lt;/Author&gt;&lt;Year&gt;2024&lt;/Year&gt;&lt;RecNum&gt;12&lt;/RecNum&gt;&lt;DisplayText&gt;(12)&lt;/DisplayText&gt;&lt;record&gt;&lt;rec-number&gt;12&lt;/rec-number&gt;&lt;foreign-keys&gt;&lt;key app="EN" db-id="z0wzrepeuvref0et2t05pavhwzav92drt9ww" timestamp="1743574030"&gt;12&lt;/key&gt;&lt;/foreign-keys&gt;&lt;ref-type name="Journal Article"&gt;17&lt;/ref-type&gt;&lt;contributors&gt;&lt;authors&gt;&lt;author&gt;Kokkotou, Eleni&lt;/author&gt;&lt;author&gt;Anagnostakis, Maximilian&lt;/author&gt;&lt;author&gt;Evangelou, Georgios&lt;/author&gt;&lt;author&gt;Syrigos, Nikolaos K&lt;/author&gt;&lt;author&gt;Gkiozos, Ioannis&lt;/author&gt;&lt;/authors&gt;&lt;/contributors&gt;&lt;titles&gt;&lt;title&gt;Real-world data and evidence in lung cancer: A review of recent developments&lt;/title&gt;&lt;secondary-title&gt;Cancers&lt;/secondary-title&gt;&lt;/titles&gt;&lt;periodical&gt;&lt;full-title&gt;Cancers&lt;/full-title&gt;&lt;/periodical&gt;&lt;pages&gt;1414&lt;/pages&gt;&lt;volume&gt;16&lt;/volume&gt;&lt;number&gt;7&lt;/number&gt;&lt;dates&gt;&lt;year&gt;2024&lt;/year&gt;&lt;/dates&gt;&lt;isbn&gt;2072-6694&lt;/isbn&gt;&lt;urls&gt;&lt;/urls&gt;&lt;/record&gt;&lt;/Cite&gt;&lt;/EndNote&gt;</w:instrText>
      </w:r>
      <w:r w:rsidR="00A72A43">
        <w:rPr>
          <w:rFonts w:cs="Times New Roman"/>
          <w:szCs w:val="24"/>
        </w:rPr>
        <w:fldChar w:fldCharType="separate"/>
      </w:r>
      <w:r w:rsidR="00D63FA7">
        <w:rPr>
          <w:rFonts w:cs="Times New Roman"/>
          <w:noProof/>
          <w:szCs w:val="24"/>
        </w:rPr>
        <w:t>(12)</w:t>
      </w:r>
      <w:r w:rsidR="00A72A43">
        <w:rPr>
          <w:rFonts w:cs="Times New Roman"/>
          <w:szCs w:val="24"/>
        </w:rPr>
        <w:fldChar w:fldCharType="end"/>
      </w:r>
      <w:r w:rsidR="00B0744E">
        <w:rPr>
          <w:rFonts w:cs="Times New Roman"/>
          <w:szCs w:val="24"/>
        </w:rPr>
        <w:t>. Yet, these</w:t>
      </w:r>
      <w:r w:rsidRPr="00232806">
        <w:rPr>
          <w:rFonts w:cs="Times New Roman"/>
          <w:szCs w:val="24"/>
        </w:rPr>
        <w:t xml:space="preserve"> studies face challenges such as bias and inconsistent reporting. Standard meta-analyses fall short by not comparing all treatments simultaneously</w:t>
      </w:r>
      <w:r w:rsidR="00D63FA7">
        <w:rPr>
          <w:rFonts w:cs="Times New Roman"/>
          <w:szCs w:val="24"/>
        </w:rPr>
        <w:t xml:space="preserve"> </w:t>
      </w:r>
      <w:r w:rsidR="00CF2D22">
        <w:rPr>
          <w:rFonts w:cs="Times New Roman"/>
          <w:szCs w:val="24"/>
        </w:rPr>
        <w:fldChar w:fldCharType="begin"/>
      </w:r>
      <w:r w:rsidR="00D63FA7">
        <w:rPr>
          <w:rFonts w:cs="Times New Roman"/>
          <w:szCs w:val="24"/>
        </w:rPr>
        <w:instrText xml:space="preserve"> ADDIN EN.CITE &lt;EndNote&gt;&lt;Cite&gt;&lt;Author&gt;Sterne&lt;/Author&gt;&lt;Year&gt;2001&lt;/Year&gt;&lt;RecNum&gt;13&lt;/RecNum&gt;&lt;DisplayText&gt;(13, 14)&lt;/DisplayText&gt;&lt;record&gt;&lt;rec-number&gt;13&lt;/rec-number&gt;&lt;foreign-keys&gt;&lt;key app="EN" db-id="z0wzrepeuvref0et2t05pavhwzav92drt9ww" timestamp="1743574075"&gt;13&lt;/key&gt;&lt;/foreign-keys&gt;&lt;ref-type name="Journal Article"&gt;17&lt;/ref-type&gt;&lt;contributors&gt;&lt;authors&gt;&lt;author&gt;Sterne, Jonathan AC&lt;/author&gt;&lt;author&gt;Egger, Matthias&lt;/author&gt;&lt;author&gt;Smith, George Davey&lt;/author&gt;&lt;/authors&gt;&lt;/contributors&gt;&lt;titles&gt;&lt;title&gt;Investigating and dealing with publication and other biases in meta-analysis&lt;/title&gt;&lt;secondary-title&gt;Bmj&lt;/secondary-title&gt;&lt;/titles&gt;&lt;periodical&gt;&lt;full-title&gt;Bmj&lt;/full-title&gt;&lt;/periodical&gt;&lt;pages&gt;101-105&lt;/pages&gt;&lt;volume&gt;323&lt;/volume&gt;&lt;number&gt;7304&lt;/number&gt;&lt;dates&gt;&lt;year&gt;2001&lt;/year&gt;&lt;/dates&gt;&lt;isbn&gt;0959-8138&lt;/isbn&gt;&lt;urls&gt;&lt;/urls&gt;&lt;/record&gt;&lt;/Cite&gt;&lt;Cite&gt;&lt;Author&gt;Page&lt;/Author&gt;&lt;Year&gt;2021&lt;/Year&gt;&lt;RecNum&gt;14&lt;/RecNum&gt;&lt;record&gt;&lt;rec-number&gt;14&lt;/rec-number&gt;&lt;foreign-keys&gt;&lt;key app="EN" db-id="z0wzrepeuvref0et2t05pavhwzav92drt9ww" timestamp="1743574096"&gt;14&lt;/key&gt;&lt;/foreign-keys&gt;&lt;ref-type name="Journal Article"&gt;17&lt;/ref-type&gt;&lt;contributors&gt;&lt;authors&gt;&lt;author&gt;Page, Matthew J&lt;/author&gt;&lt;author&gt;Sterne, Jonathan AC&lt;/author&gt;&lt;author&gt;Higgins, Julian PT&lt;/author&gt;&lt;author&gt;Egger, Matthias&lt;/author&gt;&lt;/authors&gt;&lt;/contributors&gt;&lt;titles&gt;&lt;title&gt;Investigating and dealing with publication bias and other reporting biases in meta‐analyses of health research: A review&lt;/title&gt;&lt;secondary-title&gt;Research synthesis methods&lt;/secondary-title&gt;&lt;/titles&gt;&lt;periodical&gt;&lt;full-title&gt;Research synthesis methods&lt;/full-title&gt;&lt;/periodical&gt;&lt;pages&gt;248-259&lt;/pages&gt;&lt;volume&gt;12&lt;/volume&gt;&lt;number&gt;2&lt;/number&gt;&lt;dates&gt;&lt;year&gt;2021&lt;/year&gt;&lt;/dates&gt;&lt;isbn&gt;1759-2879&lt;/isbn&gt;&lt;urls&gt;&lt;/urls&gt;&lt;/record&gt;&lt;/Cite&gt;&lt;/EndNote&gt;</w:instrText>
      </w:r>
      <w:r w:rsidR="00CF2D22">
        <w:rPr>
          <w:rFonts w:cs="Times New Roman"/>
          <w:szCs w:val="24"/>
        </w:rPr>
        <w:fldChar w:fldCharType="separate"/>
      </w:r>
      <w:r w:rsidR="00D63FA7">
        <w:rPr>
          <w:rFonts w:cs="Times New Roman"/>
          <w:noProof/>
          <w:szCs w:val="24"/>
        </w:rPr>
        <w:t>(13, 14)</w:t>
      </w:r>
      <w:r w:rsidR="00CF2D22">
        <w:rPr>
          <w:rFonts w:cs="Times New Roman"/>
          <w:szCs w:val="24"/>
        </w:rPr>
        <w:fldChar w:fldCharType="end"/>
      </w:r>
      <w:r w:rsidRPr="00232806">
        <w:rPr>
          <w:rFonts w:cs="Times New Roman"/>
          <w:szCs w:val="24"/>
        </w:rPr>
        <w:t xml:space="preserve">. </w:t>
      </w:r>
      <w:r w:rsidR="00D63FA7">
        <w:rPr>
          <w:rFonts w:cs="Times New Roman"/>
          <w:szCs w:val="24"/>
        </w:rPr>
        <w:t xml:space="preserve"> </w:t>
      </w:r>
      <w:r w:rsidRPr="00232806">
        <w:rPr>
          <w:rFonts w:cs="Times New Roman"/>
          <w:szCs w:val="24"/>
        </w:rPr>
        <w:t>Network meta-analysis (NMA) overcomes this limitation by integrating direct and indirect evidence, enabling a comprehensive comparison of GnRH antagonists, agonists, and other therapies like antiandrogens.</w:t>
      </w:r>
    </w:p>
    <w:p w14:paraId="67C644A1" w14:textId="77777777" w:rsidR="00CF2D22" w:rsidRPr="00232806" w:rsidRDefault="00CF2D22" w:rsidP="00E2469B">
      <w:pPr>
        <w:jc w:val="both"/>
        <w:rPr>
          <w:rFonts w:cs="Times New Roman"/>
          <w:szCs w:val="24"/>
        </w:rPr>
      </w:pPr>
    </w:p>
    <w:p w14:paraId="5087F907" w14:textId="5AD296C1" w:rsidR="00E2469B" w:rsidRPr="00232806" w:rsidRDefault="00E2469B" w:rsidP="00E2469B">
      <w:pPr>
        <w:jc w:val="both"/>
        <w:rPr>
          <w:rFonts w:cs="Times New Roman"/>
          <w:szCs w:val="24"/>
        </w:rPr>
      </w:pPr>
      <w:r w:rsidRPr="00232806">
        <w:rPr>
          <w:rFonts w:cs="Times New Roman"/>
          <w:szCs w:val="24"/>
        </w:rPr>
        <w:t>This NMA focuses on real-world studies to evaluate the risk of cardiovascular events</w:t>
      </w:r>
      <w:r w:rsidR="00D63FA7">
        <w:rPr>
          <w:rFonts w:cs="Times New Roman"/>
          <w:szCs w:val="24"/>
        </w:rPr>
        <w:t xml:space="preserve">, </w:t>
      </w:r>
      <w:r w:rsidRPr="00232806">
        <w:rPr>
          <w:rFonts w:cs="Times New Roman"/>
          <w:szCs w:val="24"/>
        </w:rPr>
        <w:t>such as heart attacks, strokes, or heart failure</w:t>
      </w:r>
      <w:r w:rsidR="00CF2D22">
        <w:rPr>
          <w:rFonts w:cs="Times New Roman"/>
          <w:szCs w:val="24"/>
        </w:rPr>
        <w:t xml:space="preserve">, </w:t>
      </w:r>
      <w:r w:rsidRPr="00232806">
        <w:rPr>
          <w:rFonts w:cs="Times New Roman"/>
          <w:szCs w:val="24"/>
        </w:rPr>
        <w:t>associated with GnRH antagonists versus agonists in prostate cancer patients. It aims to determine which therapy poses less risk, aiding doctors and patients in making informed decisions. By analyzing a network of treatments, it also ranks their safety and assesses consistency across studies. With prostate cancer affecting millions and ADT use widespread, understanding these risks is critical to balancing cancer control with patient safety</w:t>
      </w:r>
    </w:p>
    <w:p w14:paraId="1CF9B9C7" w14:textId="77777777" w:rsidR="00232806" w:rsidRPr="00165BFF" w:rsidRDefault="00E2469B" w:rsidP="00232806">
      <w:pPr>
        <w:pStyle w:val="Heading2"/>
        <w:rPr>
          <w:rFonts w:ascii="Times New Roman" w:hAnsi="Times New Roman" w:cs="Times New Roman"/>
          <w:b/>
          <w:bCs/>
          <w:color w:val="000000" w:themeColor="text1"/>
          <w:sz w:val="24"/>
          <w:szCs w:val="24"/>
        </w:rPr>
      </w:pPr>
      <w:r w:rsidRPr="00165BFF">
        <w:rPr>
          <w:rFonts w:ascii="Times New Roman" w:hAnsi="Times New Roman" w:cs="Times New Roman"/>
          <w:b/>
          <w:bCs/>
          <w:color w:val="000000" w:themeColor="text1"/>
          <w:sz w:val="24"/>
          <w:szCs w:val="24"/>
        </w:rPr>
        <w:lastRenderedPageBreak/>
        <w:t xml:space="preserve">Methods </w:t>
      </w:r>
    </w:p>
    <w:p w14:paraId="5111B054" w14:textId="6DAA2A7E" w:rsidR="00C7493B" w:rsidRPr="00684983" w:rsidRDefault="00232806" w:rsidP="00232806">
      <w:pPr>
        <w:pStyle w:val="Heading2"/>
        <w:rPr>
          <w:rFonts w:ascii="Times New Roman" w:eastAsia="Times New Roman" w:hAnsi="Times New Roman" w:cs="Times New Roman"/>
          <w:color w:val="FF0000"/>
          <w:sz w:val="24"/>
          <w:szCs w:val="24"/>
        </w:rPr>
      </w:pPr>
      <w:r w:rsidRPr="00684983">
        <w:rPr>
          <w:rFonts w:ascii="Times New Roman" w:eastAsia="Times New Roman" w:hAnsi="Times New Roman" w:cs="Times New Roman"/>
          <w:color w:val="FF0000"/>
          <w:sz w:val="24"/>
          <w:szCs w:val="24"/>
        </w:rPr>
        <w:t>This network meta-analysis (NMA) followed PRISMA-NMA guidelines</w:t>
      </w:r>
      <w:r w:rsidR="00684983" w:rsidRPr="00684983">
        <w:rPr>
          <w:rFonts w:ascii="Times New Roman" w:eastAsia="Times New Roman" w:hAnsi="Times New Roman" w:cs="Times New Roman"/>
          <w:color w:val="FF0000"/>
          <w:sz w:val="24"/>
          <w:szCs w:val="24"/>
        </w:rPr>
        <w:t xml:space="preserve">. which is </w:t>
      </w:r>
      <w:r w:rsidR="001E5577">
        <w:rPr>
          <w:rFonts w:ascii="Times New Roman" w:eastAsia="Times New Roman" w:hAnsi="Times New Roman" w:cs="Times New Roman"/>
          <w:color w:val="FF0000"/>
          <w:sz w:val="24"/>
          <w:szCs w:val="24"/>
        </w:rPr>
        <w:t>registered</w:t>
      </w:r>
      <w:r w:rsidR="00684983" w:rsidRPr="00684983">
        <w:rPr>
          <w:rFonts w:ascii="Times New Roman" w:eastAsia="Times New Roman" w:hAnsi="Times New Roman" w:cs="Times New Roman"/>
          <w:color w:val="FF0000"/>
          <w:sz w:val="24"/>
          <w:szCs w:val="24"/>
        </w:rPr>
        <w:t xml:space="preserve"> with </w:t>
      </w:r>
      <w:r w:rsidR="001E5577">
        <w:rPr>
          <w:rFonts w:ascii="Times New Roman" w:eastAsia="Times New Roman" w:hAnsi="Times New Roman" w:cs="Times New Roman"/>
          <w:color w:val="FF0000"/>
          <w:sz w:val="24"/>
          <w:szCs w:val="24"/>
        </w:rPr>
        <w:t xml:space="preserve">the </w:t>
      </w:r>
      <w:r w:rsidR="00684983" w:rsidRPr="00684983">
        <w:rPr>
          <w:rFonts w:ascii="Times New Roman" w:eastAsia="Times New Roman" w:hAnsi="Times New Roman" w:cs="Times New Roman"/>
          <w:color w:val="FF0000"/>
          <w:sz w:val="24"/>
          <w:szCs w:val="24"/>
        </w:rPr>
        <w:t xml:space="preserve">Prospera </w:t>
      </w:r>
      <w:r w:rsidR="001E5577">
        <w:rPr>
          <w:rFonts w:ascii="Times New Roman" w:eastAsia="Times New Roman" w:hAnsi="Times New Roman" w:cs="Times New Roman"/>
          <w:color w:val="FF0000"/>
          <w:sz w:val="24"/>
          <w:szCs w:val="24"/>
        </w:rPr>
        <w:t xml:space="preserve">database </w:t>
      </w:r>
    </w:p>
    <w:p w14:paraId="731970CD" w14:textId="4A1CE1DD" w:rsidR="00232806" w:rsidRPr="00232806" w:rsidRDefault="00E2469B" w:rsidP="00A312B5">
      <w:pPr>
        <w:pStyle w:val="Heading2"/>
        <w:rPr>
          <w:rFonts w:ascii="Times New Roman" w:eastAsia="Times New Roman" w:hAnsi="Times New Roman" w:cs="Times New Roman"/>
          <w:b/>
          <w:bCs/>
          <w:color w:val="auto"/>
          <w:sz w:val="24"/>
          <w:szCs w:val="24"/>
        </w:rPr>
      </w:pPr>
      <w:r w:rsidRPr="00232806">
        <w:rPr>
          <w:rFonts w:ascii="Times New Roman" w:hAnsi="Times New Roman" w:cs="Times New Roman"/>
          <w:b/>
          <w:bCs/>
          <w:sz w:val="24"/>
          <w:szCs w:val="24"/>
        </w:rPr>
        <w:br/>
      </w:r>
      <w:r w:rsidR="00666ABC" w:rsidRPr="00232806">
        <w:rPr>
          <w:rFonts w:ascii="Times New Roman" w:eastAsia="Times New Roman" w:hAnsi="Times New Roman" w:cs="Times New Roman"/>
          <w:b/>
          <w:bCs/>
          <w:color w:val="auto"/>
          <w:sz w:val="24"/>
          <w:szCs w:val="24"/>
        </w:rPr>
        <w:t>Eligibility Criteria</w:t>
      </w:r>
    </w:p>
    <w:p w14:paraId="57FB79C5" w14:textId="54B6E354" w:rsidR="00A37619" w:rsidRDefault="00666ABC" w:rsidP="00165BFF">
      <w:pPr>
        <w:pStyle w:val="Heading2"/>
        <w:ind w:left="1198" w:firstLine="0"/>
        <w:jc w:val="both"/>
        <w:rPr>
          <w:rFonts w:ascii="Times New Roman" w:eastAsia="Times New Roman" w:hAnsi="Times New Roman" w:cs="Times New Roman"/>
          <w:color w:val="auto"/>
          <w:sz w:val="24"/>
          <w:szCs w:val="24"/>
        </w:rPr>
      </w:pPr>
      <w:r w:rsidRPr="00666ABC">
        <w:rPr>
          <w:rFonts w:ascii="Times New Roman" w:eastAsia="Times New Roman" w:hAnsi="Times New Roman" w:cs="Times New Roman"/>
          <w:color w:val="auto"/>
          <w:sz w:val="24"/>
          <w:szCs w:val="24"/>
        </w:rPr>
        <w:t xml:space="preserve">Studies were included they compared gonadotropin-releasing hormone (GnRH) antagonists and agonists in prostate cancer, reported cardiovascular (CV) outcomes such as myocardial infarction, stroke, heart failure, or major adverse cardiovascular events (MACE), </w:t>
      </w:r>
      <w:r w:rsidR="00691E95">
        <w:rPr>
          <w:rFonts w:ascii="Times New Roman" w:eastAsia="Times New Roman" w:hAnsi="Times New Roman" w:cs="Times New Roman"/>
          <w:color w:val="auto"/>
          <w:sz w:val="24"/>
          <w:szCs w:val="24"/>
        </w:rPr>
        <w:t xml:space="preserve">and </w:t>
      </w:r>
      <w:r w:rsidRPr="00666ABC">
        <w:rPr>
          <w:rFonts w:ascii="Times New Roman" w:eastAsia="Times New Roman" w:hAnsi="Times New Roman" w:cs="Times New Roman"/>
          <w:color w:val="auto"/>
          <w:sz w:val="24"/>
          <w:szCs w:val="24"/>
        </w:rPr>
        <w:t>involved androgen deprivation therapy (ADT). Excluded studies were non-English, lacked sufficient data, or were abstracts without full text</w:t>
      </w:r>
      <w:r w:rsidR="00590F36">
        <w:rPr>
          <w:rFonts w:ascii="Times New Roman" w:eastAsia="Times New Roman" w:hAnsi="Times New Roman" w:cs="Times New Roman"/>
          <w:color w:val="auto"/>
          <w:sz w:val="24"/>
          <w:szCs w:val="24"/>
        </w:rPr>
        <w:t xml:space="preserve"> </w:t>
      </w:r>
      <w:r w:rsidR="00590F36" w:rsidRPr="00590F36">
        <w:rPr>
          <w:rFonts w:ascii="Times New Roman" w:eastAsia="Times New Roman" w:hAnsi="Times New Roman" w:cs="Times New Roman"/>
          <w:b/>
          <w:bCs/>
          <w:color w:val="auto"/>
          <w:sz w:val="24"/>
          <w:szCs w:val="24"/>
        </w:rPr>
        <w:t>(Table S2)</w:t>
      </w:r>
      <w:r w:rsidRPr="00590F36">
        <w:rPr>
          <w:rFonts w:ascii="Times New Roman" w:eastAsia="Times New Roman" w:hAnsi="Times New Roman" w:cs="Times New Roman"/>
          <w:b/>
          <w:bCs/>
          <w:color w:val="auto"/>
          <w:sz w:val="24"/>
          <w:szCs w:val="24"/>
        </w:rPr>
        <w:t>.</w:t>
      </w:r>
    </w:p>
    <w:p w14:paraId="3D4BFA6E" w14:textId="331C1918" w:rsidR="00232806" w:rsidRPr="00232806" w:rsidRDefault="00666ABC" w:rsidP="00A37619">
      <w:pPr>
        <w:pStyle w:val="Heading2"/>
        <w:ind w:left="1198" w:firstLine="0"/>
        <w:jc w:val="both"/>
        <w:rPr>
          <w:rFonts w:ascii="Times New Roman" w:eastAsia="Times New Roman" w:hAnsi="Times New Roman" w:cs="Times New Roman"/>
          <w:color w:val="auto"/>
          <w:sz w:val="24"/>
          <w:szCs w:val="24"/>
        </w:rPr>
      </w:pPr>
      <w:r w:rsidRPr="00F46118">
        <w:rPr>
          <w:rFonts w:ascii="Times New Roman" w:eastAsia="Times New Roman" w:hAnsi="Times New Roman" w:cs="Times New Roman"/>
          <w:b/>
          <w:bCs/>
          <w:color w:val="auto"/>
          <w:sz w:val="24"/>
          <w:szCs w:val="24"/>
        </w:rPr>
        <w:t>Search Strategy</w:t>
      </w:r>
    </w:p>
    <w:p w14:paraId="076A03EE" w14:textId="1FCB612B" w:rsidR="00684983" w:rsidRDefault="00684983" w:rsidP="00684983">
      <w:pPr>
        <w:spacing w:after="0" w:line="240" w:lineRule="auto"/>
        <w:ind w:left="1170" w:firstLine="0"/>
        <w:jc w:val="both"/>
        <w:rPr>
          <w:rFonts w:eastAsia="Times New Roman" w:cs="Times New Roman"/>
          <w:color w:val="auto"/>
          <w:szCs w:val="24"/>
        </w:rPr>
      </w:pPr>
      <w:r w:rsidRPr="00684983">
        <w:rPr>
          <w:rFonts w:eastAsia="Times New Roman" w:cs="Times New Roman"/>
          <w:color w:val="auto"/>
          <w:szCs w:val="24"/>
        </w:rPr>
        <w:t xml:space="preserve">"Searched PubMed, Embase, and Web of Science until March 2025 for 'prostate cancer,' 'GnRH antagonists,' 'GnRH agonists,' 'ADT,' and 'CV outcomes' using </w:t>
      </w:r>
      <w:proofErr w:type="spellStart"/>
      <w:r w:rsidRPr="00684983">
        <w:rPr>
          <w:rFonts w:eastAsia="Times New Roman" w:cs="Times New Roman"/>
          <w:color w:val="auto"/>
          <w:szCs w:val="24"/>
        </w:rPr>
        <w:t>MeSH</w:t>
      </w:r>
      <w:proofErr w:type="spellEnd"/>
      <w:r w:rsidRPr="00684983">
        <w:rPr>
          <w:rFonts w:eastAsia="Times New Roman" w:cs="Times New Roman"/>
          <w:color w:val="auto"/>
          <w:szCs w:val="24"/>
        </w:rPr>
        <w:t xml:space="preserve"> terms and keywords. Search terms: (('Prostatic Neoplasms'[</w:t>
      </w:r>
      <w:proofErr w:type="spellStart"/>
      <w:r w:rsidRPr="00684983">
        <w:rPr>
          <w:rFonts w:eastAsia="Times New Roman" w:cs="Times New Roman"/>
          <w:color w:val="auto"/>
          <w:szCs w:val="24"/>
        </w:rPr>
        <w:t>MeSH</w:t>
      </w:r>
      <w:proofErr w:type="spellEnd"/>
      <w:r w:rsidRPr="00684983">
        <w:rPr>
          <w:rFonts w:eastAsia="Times New Roman" w:cs="Times New Roman"/>
          <w:color w:val="auto"/>
          <w:szCs w:val="24"/>
        </w:rPr>
        <w:t>] OR 'Prostate cancer*') AND ('</w:t>
      </w:r>
      <w:proofErr w:type="gramStart"/>
      <w:r w:rsidRPr="00684983">
        <w:rPr>
          <w:rFonts w:eastAsia="Times New Roman" w:cs="Times New Roman"/>
          <w:color w:val="auto"/>
          <w:szCs w:val="24"/>
        </w:rPr>
        <w:t>Cardiovascular Diseases</w:t>
      </w:r>
      <w:proofErr w:type="gramEnd"/>
      <w:r w:rsidRPr="00684983">
        <w:rPr>
          <w:rFonts w:eastAsia="Times New Roman" w:cs="Times New Roman"/>
          <w:color w:val="auto"/>
          <w:szCs w:val="24"/>
        </w:rPr>
        <w:t>'[</w:t>
      </w:r>
      <w:proofErr w:type="spellStart"/>
      <w:r w:rsidRPr="00684983">
        <w:rPr>
          <w:rFonts w:eastAsia="Times New Roman" w:cs="Times New Roman"/>
          <w:color w:val="auto"/>
          <w:szCs w:val="24"/>
        </w:rPr>
        <w:t>MeSH</w:t>
      </w:r>
      <w:proofErr w:type="spellEnd"/>
      <w:r w:rsidRPr="00684983">
        <w:rPr>
          <w:rFonts w:eastAsia="Times New Roman" w:cs="Times New Roman"/>
          <w:color w:val="auto"/>
          <w:szCs w:val="24"/>
        </w:rPr>
        <w:t>] OR 'cardiovascular disease*' OR 'Myocardial Infarction'[</w:t>
      </w:r>
      <w:proofErr w:type="spellStart"/>
      <w:r w:rsidRPr="00684983">
        <w:rPr>
          <w:rFonts w:eastAsia="Times New Roman" w:cs="Times New Roman"/>
          <w:color w:val="auto"/>
          <w:szCs w:val="24"/>
        </w:rPr>
        <w:t>MeSH</w:t>
      </w:r>
      <w:proofErr w:type="spellEnd"/>
      <w:r w:rsidRPr="00684983">
        <w:rPr>
          <w:rFonts w:eastAsia="Times New Roman" w:cs="Times New Roman"/>
          <w:color w:val="auto"/>
          <w:szCs w:val="24"/>
        </w:rPr>
        <w:t>] OR 'Stroke'[</w:t>
      </w:r>
      <w:proofErr w:type="spellStart"/>
      <w:r w:rsidRPr="00684983">
        <w:rPr>
          <w:rFonts w:eastAsia="Times New Roman" w:cs="Times New Roman"/>
          <w:color w:val="auto"/>
          <w:szCs w:val="24"/>
        </w:rPr>
        <w:t>MeSH</w:t>
      </w:r>
      <w:proofErr w:type="spellEnd"/>
      <w:r w:rsidRPr="00684983">
        <w:rPr>
          <w:rFonts w:eastAsia="Times New Roman" w:cs="Times New Roman"/>
          <w:color w:val="auto"/>
          <w:szCs w:val="24"/>
        </w:rPr>
        <w:t>] OR 'Heart Failure'[</w:t>
      </w:r>
      <w:proofErr w:type="spellStart"/>
      <w:r w:rsidRPr="00684983">
        <w:rPr>
          <w:rFonts w:eastAsia="Times New Roman" w:cs="Times New Roman"/>
          <w:color w:val="auto"/>
          <w:szCs w:val="24"/>
        </w:rPr>
        <w:t>MeSH</w:t>
      </w:r>
      <w:proofErr w:type="spellEnd"/>
      <w:r w:rsidRPr="00684983">
        <w:rPr>
          <w:rFonts w:eastAsia="Times New Roman" w:cs="Times New Roman"/>
          <w:color w:val="auto"/>
          <w:szCs w:val="24"/>
        </w:rPr>
        <w:t>] OR 'major adverse cardiovascular event*')) AND ('Gonadotropin-Releasing Hormone'[</w:t>
      </w:r>
      <w:proofErr w:type="spellStart"/>
      <w:r w:rsidRPr="00684983">
        <w:rPr>
          <w:rFonts w:eastAsia="Times New Roman" w:cs="Times New Roman"/>
          <w:color w:val="auto"/>
          <w:szCs w:val="24"/>
        </w:rPr>
        <w:t>MeSH</w:t>
      </w:r>
      <w:proofErr w:type="spellEnd"/>
      <w:r w:rsidRPr="00684983">
        <w:rPr>
          <w:rFonts w:eastAsia="Times New Roman" w:cs="Times New Roman"/>
          <w:color w:val="auto"/>
          <w:szCs w:val="24"/>
        </w:rPr>
        <w:t>] OR 'GnRH antagonist*' OR 'GnRH agonist*' OR '</w:t>
      </w:r>
      <w:proofErr w:type="spellStart"/>
      <w:r w:rsidRPr="00684983">
        <w:rPr>
          <w:rFonts w:eastAsia="Times New Roman" w:cs="Times New Roman"/>
          <w:color w:val="auto"/>
          <w:szCs w:val="24"/>
        </w:rPr>
        <w:t>Degarelix</w:t>
      </w:r>
      <w:proofErr w:type="spellEnd"/>
      <w:r w:rsidRPr="00684983">
        <w:rPr>
          <w:rFonts w:eastAsia="Times New Roman" w:cs="Times New Roman"/>
          <w:color w:val="auto"/>
          <w:szCs w:val="24"/>
        </w:rPr>
        <w:t>' OR 'Goserelin' OR 'Leuprolide'). Two reviewers worked independently; a third resolved disputes</w:t>
      </w:r>
      <w:r w:rsidR="00590F36">
        <w:rPr>
          <w:rFonts w:eastAsia="Times New Roman" w:cs="Times New Roman"/>
          <w:color w:val="auto"/>
          <w:szCs w:val="24"/>
        </w:rPr>
        <w:t xml:space="preserve"> </w:t>
      </w:r>
      <w:r w:rsidR="00590F36" w:rsidRPr="00590F36">
        <w:rPr>
          <w:rFonts w:eastAsia="Times New Roman" w:cs="Times New Roman"/>
          <w:b/>
          <w:bCs/>
          <w:color w:val="auto"/>
          <w:szCs w:val="24"/>
        </w:rPr>
        <w:t>(Table S3)</w:t>
      </w:r>
      <w:r w:rsidRPr="00684983">
        <w:rPr>
          <w:rFonts w:eastAsia="Times New Roman" w:cs="Times New Roman"/>
          <w:color w:val="auto"/>
          <w:szCs w:val="24"/>
        </w:rPr>
        <w:t>.</w:t>
      </w:r>
    </w:p>
    <w:p w14:paraId="4656192A" w14:textId="77777777" w:rsidR="00590F36" w:rsidRDefault="00590F36" w:rsidP="00590F36">
      <w:pPr>
        <w:spacing w:after="0" w:line="240" w:lineRule="auto"/>
        <w:jc w:val="both"/>
        <w:rPr>
          <w:rFonts w:eastAsia="Times New Roman" w:cs="Times New Roman"/>
          <w:color w:val="auto"/>
          <w:szCs w:val="24"/>
        </w:rPr>
      </w:pPr>
    </w:p>
    <w:p w14:paraId="497CF5EE" w14:textId="58967346" w:rsidR="00E86BA2" w:rsidRDefault="00666ABC" w:rsidP="00684983">
      <w:pPr>
        <w:spacing w:after="0" w:line="240" w:lineRule="auto"/>
        <w:ind w:left="1170" w:firstLine="0"/>
        <w:jc w:val="both"/>
        <w:rPr>
          <w:rFonts w:eastAsia="Times New Roman" w:cs="Times New Roman"/>
          <w:b/>
          <w:bCs/>
          <w:color w:val="auto"/>
          <w:szCs w:val="24"/>
        </w:rPr>
      </w:pPr>
      <w:r w:rsidRPr="00666ABC">
        <w:rPr>
          <w:rFonts w:eastAsia="Times New Roman" w:cs="Times New Roman"/>
          <w:b/>
          <w:bCs/>
          <w:color w:val="auto"/>
          <w:szCs w:val="24"/>
        </w:rPr>
        <w:t xml:space="preserve">Screening </w:t>
      </w:r>
      <w:r w:rsidR="00E86BA2">
        <w:rPr>
          <w:rFonts w:eastAsia="Times New Roman" w:cs="Times New Roman"/>
          <w:b/>
          <w:bCs/>
          <w:color w:val="auto"/>
          <w:szCs w:val="24"/>
        </w:rPr>
        <w:t xml:space="preserve">and </w:t>
      </w:r>
      <w:r w:rsidR="00E86BA2" w:rsidRPr="00666ABC">
        <w:rPr>
          <w:rFonts w:eastAsia="Times New Roman" w:cs="Times New Roman"/>
          <w:b/>
          <w:bCs/>
          <w:color w:val="auto"/>
          <w:szCs w:val="24"/>
        </w:rPr>
        <w:t>Data Extraction</w:t>
      </w:r>
    </w:p>
    <w:p w14:paraId="580D0888" w14:textId="4AAC8A2E" w:rsidR="00684983" w:rsidRPr="008B4701" w:rsidRDefault="00684983" w:rsidP="00684983">
      <w:pPr>
        <w:spacing w:after="0" w:line="240" w:lineRule="auto"/>
        <w:ind w:left="1170" w:firstLine="0"/>
        <w:jc w:val="both"/>
        <w:rPr>
          <w:rFonts w:eastAsia="Times New Roman" w:cs="Times New Roman"/>
          <w:color w:val="auto"/>
          <w:szCs w:val="24"/>
        </w:rPr>
      </w:pPr>
      <w:r>
        <w:rPr>
          <w:rFonts w:eastAsia="Times New Roman" w:cs="Times New Roman"/>
          <w:color w:val="auto"/>
          <w:szCs w:val="24"/>
        </w:rPr>
        <w:t>Studies</w:t>
      </w:r>
      <w:r w:rsidRPr="00666ABC">
        <w:rPr>
          <w:rFonts w:eastAsia="Times New Roman" w:cs="Times New Roman"/>
          <w:color w:val="auto"/>
          <w:szCs w:val="24"/>
        </w:rPr>
        <w:t xml:space="preserve"> </w:t>
      </w:r>
      <w:r>
        <w:rPr>
          <w:rFonts w:eastAsia="Times New Roman" w:cs="Times New Roman"/>
          <w:color w:val="auto"/>
          <w:szCs w:val="24"/>
        </w:rPr>
        <w:t>were imported into</w:t>
      </w:r>
      <w:r w:rsidRPr="00666ABC">
        <w:rPr>
          <w:rFonts w:eastAsia="Times New Roman" w:cs="Times New Roman"/>
          <w:color w:val="auto"/>
          <w:szCs w:val="24"/>
        </w:rPr>
        <w:t xml:space="preserve"> </w:t>
      </w:r>
      <w:r>
        <w:rPr>
          <w:rFonts w:eastAsia="Times New Roman" w:cs="Times New Roman"/>
          <w:color w:val="auto"/>
          <w:szCs w:val="24"/>
        </w:rPr>
        <w:t xml:space="preserve">the </w:t>
      </w:r>
      <w:r w:rsidRPr="00666ABC">
        <w:rPr>
          <w:rFonts w:eastAsia="Times New Roman" w:cs="Times New Roman"/>
          <w:color w:val="auto"/>
          <w:szCs w:val="24"/>
        </w:rPr>
        <w:t>Nested Knowledge software</w:t>
      </w:r>
      <w:r>
        <w:rPr>
          <w:rFonts w:eastAsia="Times New Roman" w:cs="Times New Roman"/>
          <w:color w:val="auto"/>
          <w:szCs w:val="24"/>
        </w:rPr>
        <w:t>, and duplicates were removed automatically</w:t>
      </w:r>
      <w:r w:rsidRPr="00666ABC">
        <w:rPr>
          <w:rFonts w:eastAsia="Times New Roman" w:cs="Times New Roman"/>
          <w:color w:val="auto"/>
          <w:szCs w:val="24"/>
        </w:rPr>
        <w:t>. Two reviewers independently screened titles, abstracts, and full texts</w:t>
      </w:r>
      <w:r>
        <w:rPr>
          <w:rFonts w:eastAsia="Times New Roman" w:cs="Times New Roman"/>
          <w:color w:val="auto"/>
          <w:szCs w:val="24"/>
        </w:rPr>
        <w:t xml:space="preserve">. </w:t>
      </w:r>
      <w:r w:rsidRPr="00666ABC">
        <w:rPr>
          <w:rFonts w:eastAsia="Times New Roman" w:cs="Times New Roman"/>
          <w:color w:val="auto"/>
          <w:szCs w:val="24"/>
        </w:rPr>
        <w:t>Discrepancies were resolved through discussion or by consulting a senior reviewer.</w:t>
      </w:r>
      <w:r>
        <w:rPr>
          <w:rFonts w:eastAsia="Times New Roman" w:cs="Times New Roman"/>
          <w:color w:val="auto"/>
          <w:szCs w:val="24"/>
        </w:rPr>
        <w:t xml:space="preserve"> </w:t>
      </w:r>
      <w:r w:rsidRPr="00666ABC">
        <w:rPr>
          <w:rFonts w:eastAsia="Times New Roman" w:cs="Times New Roman"/>
          <w:color w:val="auto"/>
          <w:szCs w:val="24"/>
        </w:rPr>
        <w:t xml:space="preserve">Data extraction was performed within Nested Knowledge, collecting details on study characteristics (author, year, </w:t>
      </w:r>
      <w:r w:rsidRPr="00684983">
        <w:rPr>
          <w:rFonts w:eastAsia="Times New Roman" w:cs="Times New Roman"/>
          <w:color w:val="auto"/>
          <w:szCs w:val="24"/>
        </w:rPr>
        <w:t>design, sample size, follow-up duration</w:t>
      </w:r>
      <w:r w:rsidRPr="00666ABC">
        <w:rPr>
          <w:rFonts w:eastAsia="Times New Roman" w:cs="Times New Roman"/>
          <w:color w:val="auto"/>
          <w:szCs w:val="24"/>
        </w:rPr>
        <w:t>), patient demographics (age,</w:t>
      </w:r>
      <w:r w:rsidRPr="00684983">
        <w:rPr>
          <w:rFonts w:eastAsia="Times New Roman" w:cs="Times New Roman"/>
          <w:color w:val="auto"/>
          <w:szCs w:val="24"/>
        </w:rPr>
        <w:t xml:space="preserve"> CV</w:t>
      </w:r>
      <w:r>
        <w:rPr>
          <w:rFonts w:eastAsia="Times New Roman" w:cs="Times New Roman"/>
          <w:color w:val="auto"/>
          <w:szCs w:val="24"/>
        </w:rPr>
        <w:t xml:space="preserve"> event</w:t>
      </w:r>
      <w:r w:rsidRPr="00666ABC">
        <w:rPr>
          <w:rFonts w:eastAsia="Times New Roman" w:cs="Times New Roman"/>
          <w:color w:val="auto"/>
          <w:szCs w:val="24"/>
        </w:rPr>
        <w:t>, treatment details (GnRH antagonist/agonist type, ADT duration), and cardiovascular outcomes (myocardial infarction, stroke, heart failure, MACE). Two reviewers independently extracted data, resolving discrepancies using the software’s reconciliation tools</w:t>
      </w:r>
    </w:p>
    <w:p w14:paraId="5C564741" w14:textId="77777777" w:rsidR="00720DF3" w:rsidRDefault="00666ABC" w:rsidP="00720DF3">
      <w:pPr>
        <w:pStyle w:val="Heading2"/>
        <w:rPr>
          <w:rFonts w:ascii="Times New Roman" w:eastAsia="Times New Roman" w:hAnsi="Times New Roman" w:cs="Times New Roman"/>
          <w:b/>
          <w:bCs/>
          <w:color w:val="auto"/>
          <w:sz w:val="24"/>
          <w:szCs w:val="24"/>
        </w:rPr>
      </w:pPr>
      <w:r w:rsidRPr="00666ABC">
        <w:rPr>
          <w:rFonts w:ascii="Times New Roman" w:eastAsia="Times New Roman" w:hAnsi="Times New Roman" w:cs="Times New Roman"/>
          <w:b/>
          <w:bCs/>
          <w:color w:val="auto"/>
          <w:sz w:val="24"/>
          <w:szCs w:val="24"/>
        </w:rPr>
        <w:t>Quality Assessment</w:t>
      </w:r>
    </w:p>
    <w:p w14:paraId="0F4F77CB" w14:textId="12652963" w:rsidR="00B0744E" w:rsidRPr="00B0744E" w:rsidRDefault="00B0744E" w:rsidP="00782BAB">
      <w:pPr>
        <w:pStyle w:val="Heading2"/>
        <w:ind w:left="1198" w:firstLine="0"/>
        <w:jc w:val="both"/>
        <w:rPr>
          <w:rFonts w:ascii="Times New Roman" w:eastAsia="Times New Roman" w:hAnsi="Times New Roman" w:cs="Times New Roman"/>
          <w:color w:val="auto"/>
          <w:sz w:val="24"/>
          <w:szCs w:val="24"/>
        </w:rPr>
      </w:pPr>
      <w:r w:rsidRPr="00B0744E">
        <w:rPr>
          <w:rFonts w:ascii="Times New Roman" w:eastAsia="Times New Roman" w:hAnsi="Times New Roman" w:cs="Times New Roman"/>
          <w:color w:val="auto"/>
          <w:sz w:val="24"/>
          <w:szCs w:val="24"/>
        </w:rPr>
        <w:t>The Newcastle-Ottawa Scale (NOS) evaluates non-randomized studies based on selection, comparability, and outcome/exposure. Selection (0–4) assesses group definition, appropriateness, and representativeness. Comparability (0–2) checks for confounding control. Outcome/exposure (0–3) evaluates assessment reliability and follow-up adequacy. Scores range from 0 to 9, with higher scores indicating better quality</w:t>
      </w:r>
      <w:r w:rsidR="00590F36">
        <w:rPr>
          <w:rFonts w:ascii="Times New Roman" w:eastAsia="Times New Roman" w:hAnsi="Times New Roman" w:cs="Times New Roman"/>
          <w:color w:val="auto"/>
          <w:sz w:val="24"/>
          <w:szCs w:val="24"/>
        </w:rPr>
        <w:fldChar w:fldCharType="begin"/>
      </w:r>
      <w:r w:rsidR="00590F36">
        <w:rPr>
          <w:rFonts w:ascii="Times New Roman" w:eastAsia="Times New Roman" w:hAnsi="Times New Roman" w:cs="Times New Roman"/>
          <w:color w:val="auto"/>
          <w:sz w:val="24"/>
          <w:szCs w:val="24"/>
        </w:rPr>
        <w:instrText xml:space="preserve"> ADDIN EN.CITE &lt;EndNote&gt;&lt;Cite&gt;&lt;Author&gt;Hartling&lt;/Author&gt;&lt;Year&gt;2013&lt;/Year&gt;&lt;RecNum&gt;26&lt;/RecNum&gt;&lt;DisplayText&gt;(15)&lt;/DisplayText&gt;&lt;record&gt;&lt;rec-number&gt;26&lt;/rec-number&gt;&lt;foreign-keys&gt;&lt;key app="EN" db-id="z0wzrepeuvref0et2t05pavhwzav92drt9ww" timestamp="1743576733"&gt;26&lt;/key&gt;&lt;/foreign-keys&gt;&lt;ref-type name="Journal Article"&gt;17&lt;/ref-type&gt;&lt;contributors&gt;&lt;authors&gt;&lt;author&gt;Hartling, Lisa&lt;/author&gt;&lt;author&gt;Milne, Andrea&lt;/author&gt;&lt;author&gt;Hamm, Michele P&lt;/author&gt;&lt;author&gt;Vandermeer, Ben&lt;/author&gt;&lt;author&gt;Ansari, Mohammed&lt;/author&gt;&lt;author&gt;Tsertsvadze, Alexander&lt;/author&gt;&lt;author&gt;Dryden, Donna M&lt;/author&gt;&lt;/authors&gt;&lt;/contributors&gt;&lt;titles&gt;&lt;title&gt;Testing the Newcastle Ottawa Scale showed low reliability between individual reviewers&lt;/title&gt;&lt;secondary-title&gt;Journal of clinical epidemiology&lt;/secondary-title&gt;&lt;/titles&gt;&lt;periodical&gt;&lt;full-title&gt;Journal of clinical epidemiology&lt;/full-title&gt;&lt;/periodical&gt;&lt;pages&gt;982-993&lt;/pages&gt;&lt;volume&gt;66&lt;/volume&gt;&lt;number&gt;9&lt;/number&gt;&lt;dates&gt;&lt;year&gt;2013&lt;/year&gt;&lt;/dates&gt;&lt;isbn&gt;0895-4356&lt;/isbn&gt;&lt;urls&gt;&lt;/urls&gt;&lt;/record&gt;&lt;/Cite&gt;&lt;/EndNote&gt;</w:instrText>
      </w:r>
      <w:r w:rsidR="00590F36">
        <w:rPr>
          <w:rFonts w:ascii="Times New Roman" w:eastAsia="Times New Roman" w:hAnsi="Times New Roman" w:cs="Times New Roman"/>
          <w:color w:val="auto"/>
          <w:sz w:val="24"/>
          <w:szCs w:val="24"/>
        </w:rPr>
        <w:fldChar w:fldCharType="separate"/>
      </w:r>
      <w:r w:rsidR="00590F36">
        <w:rPr>
          <w:rFonts w:ascii="Times New Roman" w:eastAsia="Times New Roman" w:hAnsi="Times New Roman" w:cs="Times New Roman"/>
          <w:noProof/>
          <w:color w:val="auto"/>
          <w:sz w:val="24"/>
          <w:szCs w:val="24"/>
        </w:rPr>
        <w:t>(15)</w:t>
      </w:r>
      <w:r w:rsidR="00590F36">
        <w:rPr>
          <w:rFonts w:ascii="Times New Roman" w:eastAsia="Times New Roman" w:hAnsi="Times New Roman" w:cs="Times New Roman"/>
          <w:color w:val="auto"/>
          <w:sz w:val="24"/>
          <w:szCs w:val="24"/>
        </w:rPr>
        <w:fldChar w:fldCharType="end"/>
      </w:r>
      <w:r w:rsidRPr="00B0744E">
        <w:rPr>
          <w:rFonts w:ascii="Times New Roman" w:eastAsia="Times New Roman" w:hAnsi="Times New Roman" w:cs="Times New Roman"/>
          <w:color w:val="auto"/>
          <w:sz w:val="24"/>
          <w:szCs w:val="24"/>
        </w:rPr>
        <w:t>.</w:t>
      </w:r>
    </w:p>
    <w:p w14:paraId="22DFB6F3" w14:textId="24EF6702" w:rsidR="00232806" w:rsidRPr="00691E95" w:rsidRDefault="00666ABC" w:rsidP="00782BAB">
      <w:pPr>
        <w:pStyle w:val="Heading2"/>
        <w:ind w:left="1198" w:firstLine="0"/>
        <w:jc w:val="both"/>
        <w:rPr>
          <w:rFonts w:ascii="Times New Roman" w:eastAsia="Times New Roman" w:hAnsi="Times New Roman" w:cs="Times New Roman"/>
          <w:color w:val="auto"/>
          <w:sz w:val="24"/>
          <w:szCs w:val="24"/>
        </w:rPr>
      </w:pPr>
      <w:r w:rsidRPr="00666ABC">
        <w:rPr>
          <w:rFonts w:ascii="Times New Roman" w:eastAsia="Times New Roman" w:hAnsi="Times New Roman" w:cs="Times New Roman"/>
          <w:b/>
          <w:bCs/>
          <w:color w:val="auto"/>
          <w:sz w:val="24"/>
          <w:szCs w:val="24"/>
        </w:rPr>
        <w:t>Statistical Analysis</w:t>
      </w:r>
    </w:p>
    <w:p w14:paraId="1167E806" w14:textId="1F90D576" w:rsidR="00C0359B" w:rsidRPr="00C0359B" w:rsidRDefault="00C0359B" w:rsidP="00C0359B">
      <w:pPr>
        <w:jc w:val="both"/>
        <w:rPr>
          <w:rFonts w:cs="Times New Roman"/>
          <w:szCs w:val="24"/>
        </w:rPr>
      </w:pPr>
      <w:r w:rsidRPr="00C0359B">
        <w:rPr>
          <w:rFonts w:cs="Times New Roman"/>
          <w:szCs w:val="24"/>
        </w:rPr>
        <w:t xml:space="preserve">A frequentist network meta-analysis was conducted using a </w:t>
      </w:r>
      <w:r>
        <w:rPr>
          <w:rFonts w:cs="Times New Roman"/>
          <w:szCs w:val="24"/>
        </w:rPr>
        <w:t>random</w:t>
      </w:r>
      <w:r w:rsidRPr="00C0359B">
        <w:rPr>
          <w:rFonts w:cs="Times New Roman"/>
          <w:szCs w:val="24"/>
        </w:rPr>
        <w:t xml:space="preserve">-effects model in netmeta (R version 4.4.3). Pairwise and network analyses reported pooled risk ratios (RR) with 95% confidence intervals (CIs). Consistency was assessed with the global approach, node-splitting </w:t>
      </w:r>
      <w:r w:rsidRPr="00C0359B">
        <w:rPr>
          <w:rFonts w:cs="Times New Roman"/>
          <w:szCs w:val="24"/>
        </w:rPr>
        <w:lastRenderedPageBreak/>
        <w:t>used the local approach, and heterogeneity was evaluated with the Cochrane Q test. Publication bias was examined using funnel plots.</w:t>
      </w:r>
    </w:p>
    <w:p w14:paraId="4A217B8D" w14:textId="3092B957" w:rsidR="00E2469B" w:rsidRPr="00B0744E" w:rsidRDefault="00165BFF" w:rsidP="00B0744E">
      <w:pPr>
        <w:jc w:val="both"/>
        <w:rPr>
          <w:rFonts w:cs="Times New Roman"/>
          <w:szCs w:val="24"/>
        </w:rPr>
      </w:pPr>
      <w:r w:rsidRPr="00165BFF">
        <w:rPr>
          <w:rFonts w:cs="Times New Roman"/>
          <w:b/>
          <w:bCs/>
          <w:szCs w:val="24"/>
        </w:rPr>
        <w:t xml:space="preserve">Results </w:t>
      </w:r>
    </w:p>
    <w:p w14:paraId="28C58565" w14:textId="6E29FB0C" w:rsidR="009E11FE" w:rsidRDefault="007969D1" w:rsidP="00C0359B">
      <w:pPr>
        <w:jc w:val="both"/>
        <w:rPr>
          <w:rFonts w:cs="Times New Roman"/>
          <w:szCs w:val="24"/>
        </w:rPr>
      </w:pPr>
      <w:r w:rsidRPr="007969D1">
        <w:rPr>
          <w:rFonts w:cs="Times New Roman"/>
          <w:szCs w:val="24"/>
        </w:rPr>
        <w:t>A total of 5,952 records were initially identified from databases, including Embase (1,912), PubMed (321), and Web of Science (3,719). After removing 1,545 duplicates, 4,407 records were screened. Following the screening, 3,789 records were excluded. 618 reports were requested for retrieval, all of which were successfully obtained. Upon reviewing the full-text articles, 610 were excluded due to reasons such as being reviews, lacking a relevant population, or not addressing the required outcomes. In the end, 8 studies met the eligibility criteria and were included in the network meta-analysis</w:t>
      </w:r>
      <w:r>
        <w:rPr>
          <w:rFonts w:cs="Times New Roman"/>
          <w:szCs w:val="24"/>
        </w:rPr>
        <w:t xml:space="preserve"> </w:t>
      </w:r>
      <w:r w:rsidRPr="007969D1">
        <w:rPr>
          <w:rFonts w:cs="Times New Roman"/>
          <w:b/>
          <w:bCs/>
          <w:szCs w:val="24"/>
        </w:rPr>
        <w:t>(Figure 1)</w:t>
      </w:r>
      <w:r w:rsidRPr="007969D1">
        <w:rPr>
          <w:rFonts w:cs="Times New Roman"/>
          <w:szCs w:val="24"/>
        </w:rPr>
        <w:t>.</w:t>
      </w:r>
    </w:p>
    <w:p w14:paraId="198D7CED" w14:textId="31570AAC" w:rsidR="00F46118" w:rsidRPr="009E11FE" w:rsidRDefault="009E11FE" w:rsidP="009E11FE">
      <w:pPr>
        <w:jc w:val="both"/>
        <w:rPr>
          <w:rFonts w:cs="Times New Roman"/>
          <w:b/>
          <w:bCs/>
          <w:szCs w:val="24"/>
        </w:rPr>
      </w:pPr>
      <w:r w:rsidRPr="009E11FE">
        <w:rPr>
          <w:rFonts w:cs="Times New Roman"/>
          <w:b/>
          <w:bCs/>
          <w:szCs w:val="24"/>
        </w:rPr>
        <w:t>Demographic and Clinical Characteristics of the Study Cohort</w:t>
      </w:r>
    </w:p>
    <w:p w14:paraId="4CCE61CE" w14:textId="4E130359" w:rsidR="005352D1" w:rsidRPr="00F46118" w:rsidRDefault="007969D1" w:rsidP="00F46118">
      <w:pPr>
        <w:jc w:val="both"/>
        <w:rPr>
          <w:rFonts w:cs="Times New Roman"/>
          <w:szCs w:val="24"/>
        </w:rPr>
      </w:pPr>
      <w:r w:rsidRPr="007969D1">
        <w:rPr>
          <w:rFonts w:cs="Times New Roman"/>
          <w:szCs w:val="24"/>
        </w:rPr>
        <w:t>The table</w:t>
      </w:r>
      <w:r>
        <w:rPr>
          <w:rFonts w:cs="Times New Roman"/>
          <w:szCs w:val="24"/>
        </w:rPr>
        <w:t xml:space="preserve"> 1</w:t>
      </w:r>
      <w:r w:rsidRPr="007969D1">
        <w:rPr>
          <w:rFonts w:cs="Times New Roman"/>
          <w:szCs w:val="24"/>
        </w:rPr>
        <w:t xml:space="preserve"> includes 8 retrospective cohort studies conducted across different countries: Taiwan (2 studies), the UK (1 study), Canada (1 study), the USA (1 study), Italy (1 study), and France (1 study), with study durations ranging from 3 to 12 years. The exposure groups consisted of treatments such as D, </w:t>
      </w:r>
      <w:proofErr w:type="spellStart"/>
      <w:r w:rsidRPr="007969D1">
        <w:rPr>
          <w:rFonts w:cs="Times New Roman"/>
          <w:szCs w:val="24"/>
        </w:rPr>
        <w:t>GnRHa</w:t>
      </w:r>
      <w:proofErr w:type="spellEnd"/>
      <w:r w:rsidRPr="007969D1">
        <w:rPr>
          <w:rFonts w:cs="Times New Roman"/>
          <w:szCs w:val="24"/>
        </w:rPr>
        <w:t>, L, G, and Tr, with various comparator groups. Participants had a median or mean age ranging from 73.4 to 76.9 years, and follow-up durations varied from 0.19 to 3.3 years. Some studies, like those conducted in Canada and France, included large sample sizes, such as 10,201 and 24,846 participants, respectively, providing significant data for the analysis.</w:t>
      </w:r>
    </w:p>
    <w:p w14:paraId="3257A1F2" w14:textId="2AD7A108" w:rsidR="0089409C" w:rsidRDefault="005352D1" w:rsidP="00D1760D">
      <w:pPr>
        <w:jc w:val="both"/>
        <w:rPr>
          <w:rFonts w:cs="Times New Roman"/>
          <w:b/>
          <w:bCs/>
          <w:szCs w:val="24"/>
        </w:rPr>
      </w:pPr>
      <w:r w:rsidRPr="005352D1">
        <w:rPr>
          <w:rFonts w:cs="Times New Roman"/>
          <w:b/>
          <w:bCs/>
          <w:szCs w:val="24"/>
        </w:rPr>
        <w:t xml:space="preserve"> </w:t>
      </w:r>
      <w:r w:rsidRPr="00F46118">
        <w:rPr>
          <w:rFonts w:cs="Times New Roman"/>
          <w:b/>
          <w:bCs/>
          <w:szCs w:val="24"/>
        </w:rPr>
        <w:t>Network meta-analysis</w:t>
      </w:r>
    </w:p>
    <w:p w14:paraId="6A7AC8A3" w14:textId="77777777" w:rsidR="0089409C" w:rsidRDefault="0089409C" w:rsidP="005352D1">
      <w:pPr>
        <w:jc w:val="both"/>
        <w:rPr>
          <w:rFonts w:cs="Times New Roman"/>
          <w:b/>
          <w:bCs/>
          <w:szCs w:val="24"/>
        </w:rPr>
      </w:pPr>
      <w:bookmarkStart w:id="0" w:name="_Hlk194421691"/>
      <w:r>
        <w:rPr>
          <w:rFonts w:cs="Times New Roman"/>
          <w:b/>
          <w:bCs/>
          <w:szCs w:val="24"/>
        </w:rPr>
        <w:t>Geometry of NMA</w:t>
      </w:r>
    </w:p>
    <w:bookmarkEnd w:id="0"/>
    <w:p w14:paraId="0812675D" w14:textId="1312C133" w:rsidR="008C722D" w:rsidRDefault="00E1749B" w:rsidP="005352D1">
      <w:pPr>
        <w:jc w:val="both"/>
        <w:rPr>
          <w:rFonts w:cs="Times New Roman"/>
          <w:b/>
          <w:bCs/>
          <w:szCs w:val="24"/>
        </w:rPr>
      </w:pPr>
      <w:r w:rsidRPr="00E1749B">
        <w:t>The graphical network plots illustrate the eligible comparisons, depicting the cardiovascular safety profiles of GnRH antagonists and agonists in prostate cancer patients</w:t>
      </w:r>
      <w:r>
        <w:t xml:space="preserve"> </w:t>
      </w:r>
      <w:r w:rsidRPr="00E1749B">
        <w:rPr>
          <w:b/>
          <w:bCs/>
        </w:rPr>
        <w:t>(Figure 2)</w:t>
      </w:r>
      <w:r w:rsidR="008C722D" w:rsidRPr="00E1749B">
        <w:rPr>
          <w:b/>
          <w:bCs/>
        </w:rPr>
        <w:t>.</w:t>
      </w:r>
    </w:p>
    <w:p w14:paraId="3B68F1BD" w14:textId="77777777" w:rsidR="00557834" w:rsidRDefault="00557834" w:rsidP="005352D1">
      <w:pPr>
        <w:jc w:val="both"/>
        <w:rPr>
          <w:rFonts w:cs="Times New Roman"/>
          <w:b/>
          <w:bCs/>
          <w:szCs w:val="24"/>
        </w:rPr>
      </w:pPr>
      <w:r w:rsidRPr="00557834">
        <w:rPr>
          <w:rFonts w:cs="Times New Roman"/>
          <w:b/>
          <w:bCs/>
          <w:szCs w:val="24"/>
        </w:rPr>
        <w:t>Comparative Cardiovascular Risk of GnRH Agonists vs. Antagonists in Prostate Cancer Treatment</w:t>
      </w:r>
    </w:p>
    <w:p w14:paraId="2E293E28" w14:textId="42B1D5EE" w:rsidR="00DE56AC" w:rsidRDefault="00DE56AC" w:rsidP="005352D1">
      <w:pPr>
        <w:jc w:val="both"/>
        <w:rPr>
          <w:rFonts w:cs="Times New Roman"/>
          <w:szCs w:val="24"/>
        </w:rPr>
      </w:pPr>
      <w:r w:rsidRPr="00DE56AC">
        <w:rPr>
          <w:rFonts w:cs="Times New Roman"/>
          <w:szCs w:val="24"/>
        </w:rPr>
        <w:t xml:space="preserve">The network meta-analysis compares the risk of cardiovascular disease among different ADTs versus GnRH agonists. </w:t>
      </w:r>
      <w:proofErr w:type="spellStart"/>
      <w:r w:rsidRPr="00DE56AC">
        <w:rPr>
          <w:rFonts w:cs="Times New Roman"/>
          <w:szCs w:val="24"/>
        </w:rPr>
        <w:t>Degarelix</w:t>
      </w:r>
      <w:proofErr w:type="spellEnd"/>
      <w:r w:rsidRPr="00DE56AC">
        <w:rPr>
          <w:rFonts w:cs="Times New Roman"/>
          <w:szCs w:val="24"/>
        </w:rPr>
        <w:t xml:space="preserve"> (SUCRA: 0.69) showed a significantly lower risk (RR: 0.62, 95% CI: 0.41–0.95), suggesting better cardiovascular safety. Antiandrogens (SUCRA: 0.79) had the highest probability of being the safest (RR: 0.50, 95% CI: 0.21–1.18), though not statistically significant. Goserelin (SUCRA: 0.25, RR: 1.00, 95% CI: 0.37–2.66) ranked the lowest, indicating the highest cardiovascular risk. Leuprolide (SUCRA: 0.54, RR: 0.70, 95% CI: 0.35–1.43) and triptorelin (SUCRA: 0.52, RR: 0.72, 95% CI: 0.27–1.94) showed no significant differences in cardiovascular risk compared to GnRH agonists. Overall, antiandrogens appeared to be the safest option, while goserelin had the highest cardiovascular risk</w:t>
      </w:r>
      <w:r w:rsidR="00570311">
        <w:rPr>
          <w:rFonts w:cs="Times New Roman"/>
          <w:szCs w:val="24"/>
        </w:rPr>
        <w:t xml:space="preserve"> (</w:t>
      </w:r>
      <w:r w:rsidR="00570311" w:rsidRPr="00570311">
        <w:rPr>
          <w:rFonts w:cs="Times New Roman"/>
          <w:b/>
          <w:bCs/>
          <w:szCs w:val="24"/>
        </w:rPr>
        <w:t xml:space="preserve">Figure </w:t>
      </w:r>
      <w:r w:rsidR="00570311">
        <w:rPr>
          <w:rFonts w:cs="Times New Roman"/>
          <w:b/>
          <w:bCs/>
          <w:szCs w:val="24"/>
        </w:rPr>
        <w:t>3</w:t>
      </w:r>
      <w:r w:rsidR="00570311" w:rsidRPr="00570311">
        <w:rPr>
          <w:rFonts w:cs="Times New Roman"/>
          <w:b/>
          <w:bCs/>
          <w:szCs w:val="24"/>
        </w:rPr>
        <w:t>)</w:t>
      </w:r>
      <w:r w:rsidRPr="00DE56AC">
        <w:rPr>
          <w:rFonts w:cs="Times New Roman"/>
          <w:szCs w:val="24"/>
        </w:rPr>
        <w:t>.</w:t>
      </w:r>
    </w:p>
    <w:p w14:paraId="043A0F2D" w14:textId="155EA15C" w:rsidR="00D1760D" w:rsidRPr="00D1760D" w:rsidRDefault="00D1760D" w:rsidP="005352D1">
      <w:pPr>
        <w:jc w:val="both"/>
        <w:rPr>
          <w:rFonts w:cs="Times New Roman"/>
          <w:b/>
          <w:bCs/>
          <w:szCs w:val="24"/>
        </w:rPr>
      </w:pPr>
      <w:r w:rsidRPr="00D1760D">
        <w:rPr>
          <w:rFonts w:cs="Times New Roman"/>
          <w:b/>
          <w:bCs/>
          <w:szCs w:val="24"/>
        </w:rPr>
        <w:t>Global and Local Consistency Analysis</w:t>
      </w:r>
    </w:p>
    <w:p w14:paraId="7ADFCD3C" w14:textId="0FE329B1" w:rsidR="00D1760D" w:rsidRPr="00D1760D" w:rsidRDefault="00D1760D" w:rsidP="00D1760D">
      <w:pPr>
        <w:jc w:val="both"/>
        <w:rPr>
          <w:rFonts w:cs="Times New Roman"/>
          <w:szCs w:val="24"/>
        </w:rPr>
      </w:pPr>
      <w:r w:rsidRPr="00D1760D">
        <w:rPr>
          <w:rFonts w:cs="Times New Roman"/>
          <w:szCs w:val="24"/>
        </w:rPr>
        <w:t xml:space="preserve">The global consistency analysis showed significant inconsistency (Q = 46.67, </w:t>
      </w:r>
      <w:proofErr w:type="spellStart"/>
      <w:r w:rsidRPr="00D1760D">
        <w:rPr>
          <w:rFonts w:cs="Times New Roman"/>
          <w:szCs w:val="24"/>
        </w:rPr>
        <w:t>df</w:t>
      </w:r>
      <w:proofErr w:type="spellEnd"/>
      <w:r w:rsidRPr="00D1760D">
        <w:rPr>
          <w:rFonts w:cs="Times New Roman"/>
          <w:szCs w:val="24"/>
        </w:rPr>
        <w:t xml:space="preserve"> = 6, p &lt; 0.0001), mainly within (Q = 38.80, </w:t>
      </w:r>
      <w:proofErr w:type="spellStart"/>
      <w:r w:rsidRPr="00D1760D">
        <w:rPr>
          <w:rFonts w:cs="Times New Roman"/>
          <w:szCs w:val="24"/>
        </w:rPr>
        <w:t>df</w:t>
      </w:r>
      <w:proofErr w:type="spellEnd"/>
      <w:r w:rsidRPr="00D1760D">
        <w:rPr>
          <w:rFonts w:cs="Times New Roman"/>
          <w:szCs w:val="24"/>
        </w:rPr>
        <w:t xml:space="preserve"> = 4, p &lt; 0.0001) and between study designs (Q = 7.87, </w:t>
      </w:r>
      <w:proofErr w:type="spellStart"/>
      <w:r w:rsidRPr="00D1760D">
        <w:rPr>
          <w:rFonts w:cs="Times New Roman"/>
          <w:szCs w:val="24"/>
        </w:rPr>
        <w:t>df</w:t>
      </w:r>
      <w:proofErr w:type="spellEnd"/>
      <w:r w:rsidRPr="00D1760D">
        <w:rPr>
          <w:rFonts w:cs="Times New Roman"/>
          <w:szCs w:val="24"/>
        </w:rPr>
        <w:t xml:space="preserve"> = 2, p = 0.0195). The </w:t>
      </w:r>
      <w:proofErr w:type="spellStart"/>
      <w:r w:rsidRPr="00D1760D">
        <w:rPr>
          <w:rFonts w:cs="Times New Roman"/>
          <w:szCs w:val="24"/>
        </w:rPr>
        <w:t>GnRHa</w:t>
      </w:r>
      <w:proofErr w:type="spellEnd"/>
      <w:r w:rsidRPr="00D1760D">
        <w:rPr>
          <w:rFonts w:cs="Times New Roman"/>
          <w:szCs w:val="24"/>
        </w:rPr>
        <w:t xml:space="preserve"> vs. </w:t>
      </w:r>
      <w:proofErr w:type="spellStart"/>
      <w:r w:rsidRPr="00D1760D">
        <w:rPr>
          <w:rFonts w:cs="Times New Roman"/>
          <w:szCs w:val="24"/>
        </w:rPr>
        <w:t>Degarelix</w:t>
      </w:r>
      <w:proofErr w:type="spellEnd"/>
      <w:r w:rsidRPr="00D1760D">
        <w:rPr>
          <w:rFonts w:cs="Times New Roman"/>
          <w:szCs w:val="24"/>
        </w:rPr>
        <w:t xml:space="preserve"> </w:t>
      </w:r>
      <w:r w:rsidR="00570311">
        <w:rPr>
          <w:rFonts w:cs="Times New Roman"/>
          <w:szCs w:val="24"/>
        </w:rPr>
        <w:t>comparison</w:t>
      </w:r>
      <w:r w:rsidRPr="00D1760D">
        <w:rPr>
          <w:rFonts w:cs="Times New Roman"/>
          <w:szCs w:val="24"/>
        </w:rPr>
        <w:t xml:space="preserve"> had the highest inconsistency (Q = 38.76, </w:t>
      </w:r>
      <w:proofErr w:type="spellStart"/>
      <w:r w:rsidRPr="00D1760D">
        <w:rPr>
          <w:rFonts w:cs="Times New Roman"/>
          <w:szCs w:val="24"/>
        </w:rPr>
        <w:t>df</w:t>
      </w:r>
      <w:proofErr w:type="spellEnd"/>
      <w:r w:rsidRPr="00D1760D">
        <w:rPr>
          <w:rFonts w:cs="Times New Roman"/>
          <w:szCs w:val="24"/>
        </w:rPr>
        <w:t xml:space="preserve"> = 3, p &lt; 0.0001), while </w:t>
      </w:r>
      <w:proofErr w:type="spellStart"/>
      <w:r w:rsidRPr="00D1760D">
        <w:rPr>
          <w:rFonts w:cs="Times New Roman"/>
          <w:szCs w:val="24"/>
        </w:rPr>
        <w:t>Degarelix</w:t>
      </w:r>
      <w:proofErr w:type="spellEnd"/>
      <w:r w:rsidRPr="00D1760D">
        <w:rPr>
          <w:rFonts w:cs="Times New Roman"/>
          <w:szCs w:val="24"/>
        </w:rPr>
        <w:t xml:space="preserve"> vs. Leuprolide was consistent (Q = 0.04, </w:t>
      </w:r>
      <w:proofErr w:type="spellStart"/>
      <w:r w:rsidRPr="00D1760D">
        <w:rPr>
          <w:rFonts w:cs="Times New Roman"/>
          <w:szCs w:val="24"/>
        </w:rPr>
        <w:t>df</w:t>
      </w:r>
      <w:proofErr w:type="spellEnd"/>
      <w:r w:rsidRPr="00D1760D">
        <w:rPr>
          <w:rFonts w:cs="Times New Roman"/>
          <w:szCs w:val="24"/>
        </w:rPr>
        <w:t xml:space="preserve"> = 1, p = 0.8450). Removing </w:t>
      </w:r>
      <w:proofErr w:type="spellStart"/>
      <w:r w:rsidRPr="00D1760D">
        <w:rPr>
          <w:rFonts w:cs="Times New Roman"/>
          <w:szCs w:val="24"/>
        </w:rPr>
        <w:t>Degarelix</w:t>
      </w:r>
      <w:proofErr w:type="spellEnd"/>
      <w:r w:rsidRPr="00D1760D">
        <w:rPr>
          <w:rFonts w:cs="Times New Roman"/>
          <w:szCs w:val="24"/>
        </w:rPr>
        <w:t xml:space="preserve"> vs. Leuprolide had little effect (Q = 0.21, </w:t>
      </w:r>
      <w:proofErr w:type="spellStart"/>
      <w:r w:rsidRPr="00D1760D">
        <w:rPr>
          <w:rFonts w:cs="Times New Roman"/>
          <w:szCs w:val="24"/>
        </w:rPr>
        <w:t>df</w:t>
      </w:r>
      <w:proofErr w:type="spellEnd"/>
      <w:r w:rsidRPr="00D1760D">
        <w:rPr>
          <w:rFonts w:cs="Times New Roman"/>
          <w:szCs w:val="24"/>
        </w:rPr>
        <w:t xml:space="preserve"> = 1, p = 0.6494), </w:t>
      </w:r>
      <w:r w:rsidRPr="00D1760D">
        <w:rPr>
          <w:rFonts w:cs="Times New Roman"/>
          <w:szCs w:val="24"/>
        </w:rPr>
        <w:lastRenderedPageBreak/>
        <w:t xml:space="preserve">but excluding </w:t>
      </w:r>
      <w:proofErr w:type="spellStart"/>
      <w:r w:rsidRPr="00D1760D">
        <w:rPr>
          <w:rFonts w:cs="Times New Roman"/>
          <w:szCs w:val="24"/>
        </w:rPr>
        <w:t>GnRHa</w:t>
      </w:r>
      <w:proofErr w:type="spellEnd"/>
      <w:r w:rsidRPr="00D1760D">
        <w:rPr>
          <w:rFonts w:cs="Times New Roman"/>
          <w:szCs w:val="24"/>
        </w:rPr>
        <w:t xml:space="preserve"> vs. </w:t>
      </w:r>
      <w:proofErr w:type="spellStart"/>
      <w:r w:rsidRPr="00D1760D">
        <w:rPr>
          <w:rFonts w:cs="Times New Roman"/>
          <w:szCs w:val="24"/>
        </w:rPr>
        <w:t>Degarelix</w:t>
      </w:r>
      <w:proofErr w:type="spellEnd"/>
      <w:r w:rsidRPr="00D1760D">
        <w:rPr>
          <w:rFonts w:cs="Times New Roman"/>
          <w:szCs w:val="24"/>
        </w:rPr>
        <w:t xml:space="preserve"> reduced inconsistency (Q = 7.66, </w:t>
      </w:r>
      <w:proofErr w:type="spellStart"/>
      <w:r w:rsidRPr="00D1760D">
        <w:rPr>
          <w:rFonts w:cs="Times New Roman"/>
          <w:szCs w:val="24"/>
        </w:rPr>
        <w:t>df</w:t>
      </w:r>
      <w:proofErr w:type="spellEnd"/>
      <w:r w:rsidRPr="00D1760D">
        <w:rPr>
          <w:rFonts w:cs="Times New Roman"/>
          <w:szCs w:val="24"/>
        </w:rPr>
        <w:t xml:space="preserve"> = 1, p = 0.0056), marking it as a key source of heterogeneity.</w:t>
      </w:r>
    </w:p>
    <w:p w14:paraId="20313932" w14:textId="475632BD" w:rsidR="00D1760D" w:rsidRDefault="00D1760D" w:rsidP="00D1760D">
      <w:pPr>
        <w:jc w:val="both"/>
        <w:rPr>
          <w:rFonts w:cs="Times New Roman"/>
          <w:szCs w:val="24"/>
        </w:rPr>
      </w:pPr>
      <w:r w:rsidRPr="00D1760D">
        <w:rPr>
          <w:rFonts w:cs="Times New Roman"/>
          <w:szCs w:val="24"/>
        </w:rPr>
        <w:t xml:space="preserve">The local consistency analysis showed that </w:t>
      </w:r>
      <w:proofErr w:type="spellStart"/>
      <w:r w:rsidRPr="00D1760D">
        <w:rPr>
          <w:rFonts w:cs="Times New Roman"/>
          <w:szCs w:val="24"/>
        </w:rPr>
        <w:t>Degarelix</w:t>
      </w:r>
      <w:proofErr w:type="spellEnd"/>
      <w:r w:rsidRPr="00D1760D">
        <w:rPr>
          <w:rFonts w:cs="Times New Roman"/>
          <w:szCs w:val="24"/>
        </w:rPr>
        <w:t xml:space="preserve"> vs. </w:t>
      </w:r>
      <w:proofErr w:type="spellStart"/>
      <w:r w:rsidRPr="00D1760D">
        <w:rPr>
          <w:rFonts w:cs="Times New Roman"/>
          <w:szCs w:val="24"/>
        </w:rPr>
        <w:t>GnRHa</w:t>
      </w:r>
      <w:proofErr w:type="spellEnd"/>
      <w:r w:rsidRPr="00D1760D">
        <w:rPr>
          <w:rFonts w:cs="Times New Roman"/>
          <w:szCs w:val="24"/>
        </w:rPr>
        <w:t xml:space="preserve"> (I² = 89.7%) had a lower cardiovascular risk (RR = 0.62, 95% CI: 0.41–0.95) with consistent estimates. However, </w:t>
      </w:r>
      <w:proofErr w:type="spellStart"/>
      <w:r w:rsidRPr="00D1760D">
        <w:rPr>
          <w:rFonts w:cs="Times New Roman"/>
          <w:szCs w:val="24"/>
        </w:rPr>
        <w:t>Degarelix</w:t>
      </w:r>
      <w:proofErr w:type="spellEnd"/>
      <w:r w:rsidRPr="00D1760D">
        <w:rPr>
          <w:rFonts w:cs="Times New Roman"/>
          <w:szCs w:val="24"/>
        </w:rPr>
        <w:t xml:space="preserve"> vs. Goserelin showed inconsistencies between direct (RR = 0.36, 95% CI: 0.12–1.09) and indirect (RR = 1.63, 95% CI: 0.38–7.05) estimates. Goserelin vs. Leuprolide (I² = 0.89) also had inconsistencies between direct (RR = 1.13, 95% CI: 0.44–2.91) and indirect (RR = 1.42, 95% CI: 0.33–6.18) estimates, similar to Goserelin vs. Triptorelin (RR = 1.38, 95% CI: 0.58–3.29). In contrast, Leuprolide vs. </w:t>
      </w:r>
      <w:proofErr w:type="spellStart"/>
      <w:r w:rsidRPr="00D1760D">
        <w:rPr>
          <w:rFonts w:cs="Times New Roman"/>
          <w:szCs w:val="24"/>
        </w:rPr>
        <w:t>GnRHa</w:t>
      </w:r>
      <w:proofErr w:type="spellEnd"/>
      <w:r w:rsidRPr="00D1760D">
        <w:rPr>
          <w:rFonts w:cs="Times New Roman"/>
          <w:szCs w:val="24"/>
        </w:rPr>
        <w:t xml:space="preserve"> (RR = 0.70, 95% CI: 0.35–1.43) and Triptorelin vs. </w:t>
      </w:r>
      <w:proofErr w:type="spellStart"/>
      <w:r w:rsidRPr="00D1760D">
        <w:rPr>
          <w:rFonts w:cs="Times New Roman"/>
          <w:szCs w:val="24"/>
        </w:rPr>
        <w:t>GnRHa</w:t>
      </w:r>
      <w:proofErr w:type="spellEnd"/>
      <w:r w:rsidRPr="00D1760D">
        <w:rPr>
          <w:rFonts w:cs="Times New Roman"/>
          <w:szCs w:val="24"/>
        </w:rPr>
        <w:t xml:space="preserve"> (RR = 0.72, 95% CI: 0.27–1.94) showed no significant differences. While </w:t>
      </w:r>
      <w:proofErr w:type="spellStart"/>
      <w:r w:rsidRPr="00D1760D">
        <w:rPr>
          <w:rFonts w:cs="Times New Roman"/>
          <w:szCs w:val="24"/>
        </w:rPr>
        <w:t>Degarelix</w:t>
      </w:r>
      <w:proofErr w:type="spellEnd"/>
      <w:r w:rsidRPr="00D1760D">
        <w:rPr>
          <w:rFonts w:cs="Times New Roman"/>
          <w:szCs w:val="24"/>
        </w:rPr>
        <w:t xml:space="preserve"> vs. </w:t>
      </w:r>
      <w:proofErr w:type="spellStart"/>
      <w:r w:rsidRPr="00D1760D">
        <w:rPr>
          <w:rFonts w:cs="Times New Roman"/>
          <w:szCs w:val="24"/>
        </w:rPr>
        <w:t>GnRHa</w:t>
      </w:r>
      <w:proofErr w:type="spellEnd"/>
      <w:r w:rsidRPr="00D1760D">
        <w:rPr>
          <w:rFonts w:cs="Times New Roman"/>
          <w:szCs w:val="24"/>
        </w:rPr>
        <w:t xml:space="preserve"> was consistent, </w:t>
      </w:r>
      <w:proofErr w:type="spellStart"/>
      <w:r w:rsidRPr="00D1760D">
        <w:rPr>
          <w:rFonts w:cs="Times New Roman"/>
          <w:szCs w:val="24"/>
        </w:rPr>
        <w:t>Degarelix</w:t>
      </w:r>
      <w:proofErr w:type="spellEnd"/>
      <w:r w:rsidRPr="00D1760D">
        <w:rPr>
          <w:rFonts w:cs="Times New Roman"/>
          <w:szCs w:val="24"/>
        </w:rPr>
        <w:t xml:space="preserve"> vs. Goserelin and Goserelin vs. Leuprolide showed potential inconsistencies</w:t>
      </w:r>
      <w:r w:rsidR="00570311">
        <w:rPr>
          <w:rFonts w:cs="Times New Roman"/>
          <w:szCs w:val="24"/>
        </w:rPr>
        <w:t xml:space="preserve"> </w:t>
      </w:r>
      <w:r w:rsidR="00570311" w:rsidRPr="00570311">
        <w:rPr>
          <w:rFonts w:cs="Times New Roman"/>
          <w:b/>
          <w:bCs/>
          <w:szCs w:val="24"/>
        </w:rPr>
        <w:t xml:space="preserve">(Figure </w:t>
      </w:r>
      <w:r w:rsidR="00833F6A">
        <w:rPr>
          <w:rFonts w:cs="Times New Roman"/>
          <w:b/>
          <w:bCs/>
          <w:szCs w:val="24"/>
        </w:rPr>
        <w:t>4</w:t>
      </w:r>
      <w:r w:rsidR="00570311" w:rsidRPr="00570311">
        <w:rPr>
          <w:rFonts w:cs="Times New Roman"/>
          <w:b/>
          <w:bCs/>
          <w:szCs w:val="24"/>
        </w:rPr>
        <w:t>)</w:t>
      </w:r>
      <w:r w:rsidRPr="00570311">
        <w:rPr>
          <w:rFonts w:cs="Times New Roman"/>
          <w:b/>
          <w:bCs/>
          <w:szCs w:val="24"/>
        </w:rPr>
        <w:t>.</w:t>
      </w:r>
    </w:p>
    <w:p w14:paraId="1816D540" w14:textId="0E52F154" w:rsidR="00D1760D" w:rsidRDefault="00570311" w:rsidP="00D1760D">
      <w:pPr>
        <w:jc w:val="both"/>
        <w:rPr>
          <w:rFonts w:cs="Times New Roman"/>
          <w:b/>
          <w:bCs/>
          <w:szCs w:val="24"/>
        </w:rPr>
      </w:pPr>
      <w:r w:rsidRPr="00570311">
        <w:rPr>
          <w:rFonts w:cs="Times New Roman"/>
          <w:b/>
          <w:bCs/>
          <w:szCs w:val="24"/>
        </w:rPr>
        <w:t>Publication bias</w:t>
      </w:r>
    </w:p>
    <w:p w14:paraId="0136F8B3" w14:textId="103A4593" w:rsidR="00833F6A" w:rsidRPr="00833F6A" w:rsidRDefault="00833F6A" w:rsidP="00D1760D">
      <w:pPr>
        <w:jc w:val="both"/>
        <w:rPr>
          <w:rFonts w:cs="Times New Roman"/>
          <w:szCs w:val="24"/>
        </w:rPr>
      </w:pPr>
      <w:r w:rsidRPr="00833F6A">
        <w:rPr>
          <w:rFonts w:cs="Times New Roman"/>
          <w:szCs w:val="24"/>
        </w:rPr>
        <w:t xml:space="preserve">Moderate symmetry indicates minimal publication bias, though slight asymmetry is seen in smaller studies. </w:t>
      </w:r>
      <w:proofErr w:type="spellStart"/>
      <w:r w:rsidRPr="00833F6A">
        <w:rPr>
          <w:rFonts w:cs="Times New Roman"/>
          <w:szCs w:val="24"/>
        </w:rPr>
        <w:t>Degarelix</w:t>
      </w:r>
      <w:proofErr w:type="spellEnd"/>
      <w:r w:rsidRPr="00833F6A">
        <w:rPr>
          <w:rFonts w:cs="Times New Roman"/>
          <w:szCs w:val="24"/>
        </w:rPr>
        <w:t xml:space="preserve"> vs. </w:t>
      </w:r>
      <w:proofErr w:type="spellStart"/>
      <w:r w:rsidRPr="00833F6A">
        <w:rPr>
          <w:rFonts w:cs="Times New Roman"/>
          <w:szCs w:val="24"/>
        </w:rPr>
        <w:t>GnRHa</w:t>
      </w:r>
      <w:proofErr w:type="spellEnd"/>
      <w:r w:rsidRPr="00833F6A">
        <w:rPr>
          <w:rFonts w:cs="Times New Roman"/>
          <w:szCs w:val="24"/>
        </w:rPr>
        <w:t xml:space="preserve"> shows tightly clustered effects (consistent precision), while Antiandrogen vs. </w:t>
      </w:r>
      <w:proofErr w:type="spellStart"/>
      <w:r w:rsidRPr="00833F6A">
        <w:rPr>
          <w:rFonts w:cs="Times New Roman"/>
          <w:szCs w:val="24"/>
        </w:rPr>
        <w:t>Degarelix</w:t>
      </w:r>
      <w:proofErr w:type="spellEnd"/>
      <w:r w:rsidRPr="00833F6A">
        <w:rPr>
          <w:rFonts w:cs="Times New Roman"/>
          <w:szCs w:val="24"/>
        </w:rPr>
        <w:t>/</w:t>
      </w:r>
      <w:proofErr w:type="spellStart"/>
      <w:r w:rsidRPr="00833F6A">
        <w:rPr>
          <w:rFonts w:cs="Times New Roman"/>
          <w:szCs w:val="24"/>
        </w:rPr>
        <w:t>GnRHa</w:t>
      </w:r>
      <w:proofErr w:type="spellEnd"/>
      <w:r w:rsidRPr="00833F6A">
        <w:rPr>
          <w:rFonts w:cs="Times New Roman"/>
          <w:szCs w:val="24"/>
        </w:rPr>
        <w:t xml:space="preserve"> displays variability, suggesting heterogeneity or limited sample sizes. Goserelin-related comparisons (e.g., vs. Leuprolide/Triptorelin) exhibit scattered results, reflecting low precision. Gaps in data for certain pairs (e.g., Antiandrogen vs. </w:t>
      </w:r>
      <w:proofErr w:type="spellStart"/>
      <w:r w:rsidRPr="00833F6A">
        <w:rPr>
          <w:rFonts w:cs="Times New Roman"/>
          <w:szCs w:val="24"/>
        </w:rPr>
        <w:t>GnRHa</w:t>
      </w:r>
      <w:proofErr w:type="spellEnd"/>
      <w:r w:rsidRPr="00833F6A">
        <w:rPr>
          <w:rFonts w:cs="Times New Roman"/>
          <w:szCs w:val="24"/>
        </w:rPr>
        <w:t>) imply potential missing studies. Larger studies demonstrate stable estimates, while smaller ones show greater variability</w:t>
      </w:r>
      <w:r>
        <w:rPr>
          <w:rFonts w:cs="Times New Roman"/>
          <w:szCs w:val="24"/>
        </w:rPr>
        <w:t xml:space="preserve"> </w:t>
      </w:r>
      <w:r w:rsidRPr="00833F6A">
        <w:rPr>
          <w:rFonts w:cs="Times New Roman"/>
          <w:b/>
          <w:bCs/>
          <w:szCs w:val="24"/>
        </w:rPr>
        <w:t>(Figure</w:t>
      </w:r>
      <w:r>
        <w:rPr>
          <w:rFonts w:cs="Times New Roman"/>
          <w:b/>
          <w:bCs/>
          <w:szCs w:val="24"/>
        </w:rPr>
        <w:t xml:space="preserve"> 5)</w:t>
      </w:r>
    </w:p>
    <w:p w14:paraId="6A09495C" w14:textId="77777777" w:rsidR="00A61775" w:rsidRDefault="00A61775" w:rsidP="00D1760D">
      <w:pPr>
        <w:jc w:val="both"/>
        <w:rPr>
          <w:rFonts w:cs="Times New Roman"/>
          <w:b/>
          <w:bCs/>
          <w:szCs w:val="24"/>
        </w:rPr>
      </w:pPr>
      <w:r>
        <w:rPr>
          <w:rFonts w:cs="Times New Roman"/>
          <w:b/>
          <w:bCs/>
          <w:szCs w:val="24"/>
        </w:rPr>
        <w:t>Discussion</w:t>
      </w:r>
    </w:p>
    <w:p w14:paraId="5C27554E" w14:textId="3A60A3C7" w:rsidR="00B23A9A" w:rsidRPr="00FA3237" w:rsidRDefault="00B23A9A" w:rsidP="00FA3237">
      <w:pPr>
        <w:spacing w:after="0" w:line="240" w:lineRule="auto"/>
        <w:ind w:left="1260" w:firstLine="0"/>
        <w:jc w:val="both"/>
        <w:rPr>
          <w:rFonts w:eastAsia="Times New Roman" w:cs="Times New Roman"/>
          <w:color w:val="auto"/>
          <w:szCs w:val="24"/>
        </w:rPr>
      </w:pPr>
      <w:r w:rsidRPr="00B23A9A">
        <w:rPr>
          <w:rFonts w:eastAsia="Times New Roman" w:cs="Times New Roman"/>
          <w:color w:val="auto"/>
          <w:szCs w:val="24"/>
        </w:rPr>
        <w:t xml:space="preserve">This network meta-analysis (NMA) assesses the cardiovascular safety of GnRH antagonists and agonists in prostate cancer patients on androgen deprivation therapy (ADT), using data from eight retrospective cohort studies. </w:t>
      </w:r>
      <w:proofErr w:type="spellStart"/>
      <w:r w:rsidRPr="00B23A9A">
        <w:rPr>
          <w:rFonts w:eastAsia="Times New Roman" w:cs="Times New Roman"/>
          <w:color w:val="auto"/>
          <w:szCs w:val="24"/>
        </w:rPr>
        <w:t>Degarelix</w:t>
      </w:r>
      <w:proofErr w:type="spellEnd"/>
      <w:r w:rsidRPr="00B23A9A">
        <w:rPr>
          <w:rFonts w:eastAsia="Times New Roman" w:cs="Times New Roman"/>
          <w:color w:val="auto"/>
          <w:szCs w:val="24"/>
        </w:rPr>
        <w:t xml:space="preserve">, a GnRH antagonist, showed a lower cardiovascular event risk compared to agonists (RR: 0.62, 95% CI: 0.41–0.95), with a SUCRA of 0.69. Antiandrogens ranked highest for safety (SUCRA: 0.79), though not significant (RR: 0.50, 95% CI: 0.21–1.18), while goserelin ranked lowest (SUCRA: 0.25), indicating higher risk. This supports the idea that antagonists’ lack of testosterone surge may reduce cardiovascular strain. Yet, significant inconsistency (Q = 46.67, p &lt; 0.0001), especially in </w:t>
      </w:r>
      <w:proofErr w:type="spellStart"/>
      <w:r w:rsidRPr="00B23A9A">
        <w:rPr>
          <w:rFonts w:eastAsia="Times New Roman" w:cs="Times New Roman"/>
          <w:color w:val="auto"/>
          <w:szCs w:val="24"/>
        </w:rPr>
        <w:t>GnRHa</w:t>
      </w:r>
      <w:proofErr w:type="spellEnd"/>
      <w:r w:rsidRPr="00B23A9A">
        <w:rPr>
          <w:rFonts w:eastAsia="Times New Roman" w:cs="Times New Roman"/>
          <w:color w:val="auto"/>
          <w:szCs w:val="24"/>
        </w:rPr>
        <w:t xml:space="preserve"> vs. </w:t>
      </w:r>
      <w:proofErr w:type="spellStart"/>
      <w:r w:rsidRPr="00B23A9A">
        <w:rPr>
          <w:rFonts w:eastAsia="Times New Roman" w:cs="Times New Roman"/>
          <w:color w:val="auto"/>
          <w:szCs w:val="24"/>
        </w:rPr>
        <w:t>degarelix</w:t>
      </w:r>
      <w:proofErr w:type="spellEnd"/>
      <w:r w:rsidRPr="00B23A9A">
        <w:rPr>
          <w:rFonts w:eastAsia="Times New Roman" w:cs="Times New Roman"/>
          <w:color w:val="auto"/>
          <w:szCs w:val="24"/>
        </w:rPr>
        <w:t xml:space="preserve"> (Q = 38.76, p &lt; 0.0001), and variable estimates (e.g., </w:t>
      </w:r>
      <w:proofErr w:type="spellStart"/>
      <w:r w:rsidRPr="00B23A9A">
        <w:rPr>
          <w:rFonts w:eastAsia="Times New Roman" w:cs="Times New Roman"/>
          <w:color w:val="auto"/>
          <w:szCs w:val="24"/>
        </w:rPr>
        <w:t>degarelix</w:t>
      </w:r>
      <w:proofErr w:type="spellEnd"/>
      <w:r w:rsidRPr="00B23A9A">
        <w:rPr>
          <w:rFonts w:eastAsia="Times New Roman" w:cs="Times New Roman"/>
          <w:color w:val="auto"/>
          <w:szCs w:val="24"/>
        </w:rPr>
        <w:t xml:space="preserve"> vs. goserelin) suggest heterogeneity in study design and populations</w:t>
      </w:r>
      <w:r w:rsidR="00FA3237">
        <w:rPr>
          <w:rFonts w:eastAsia="Times New Roman" w:cs="Times New Roman"/>
          <w:color w:val="auto"/>
          <w:szCs w:val="24"/>
        </w:rPr>
        <w:t>.</w:t>
      </w:r>
    </w:p>
    <w:p w14:paraId="56BDC5FE" w14:textId="060229D5" w:rsidR="00B23A9A" w:rsidRPr="00B23A9A" w:rsidRDefault="00B23A9A" w:rsidP="00B23A9A">
      <w:pPr>
        <w:jc w:val="both"/>
        <w:rPr>
          <w:rFonts w:cs="Times New Roman"/>
          <w:szCs w:val="24"/>
        </w:rPr>
      </w:pPr>
      <w:r>
        <w:rPr>
          <w:rFonts w:cs="Times New Roman"/>
          <w:szCs w:val="24"/>
        </w:rPr>
        <w:t xml:space="preserve"> </w:t>
      </w:r>
      <w:r w:rsidRPr="00B23A9A">
        <w:rPr>
          <w:rFonts w:cs="Times New Roman"/>
          <w:szCs w:val="24"/>
        </w:rPr>
        <w:t xml:space="preserve">Compared with previous studies, our NMA suggests </w:t>
      </w:r>
      <w:proofErr w:type="spellStart"/>
      <w:r w:rsidRPr="00B23A9A">
        <w:rPr>
          <w:rFonts w:cs="Times New Roman"/>
          <w:szCs w:val="24"/>
        </w:rPr>
        <w:t>degarelix</w:t>
      </w:r>
      <w:proofErr w:type="spellEnd"/>
      <w:r w:rsidRPr="00B23A9A">
        <w:rPr>
          <w:rFonts w:cs="Times New Roman"/>
          <w:szCs w:val="24"/>
        </w:rPr>
        <w:t>, a GnRH antagonist, lowers cardiovascular risk in prostate cancer patients compared to agonists (RR: 0.62, 95% CI: 0.41–0.95), with a high safety ranking (SUCRA: 0.69), while goserelin ranks lowest (SUCRA: 0.25). Conversely</w:t>
      </w:r>
      <w:r w:rsidRPr="00FA3237">
        <w:rPr>
          <w:rFonts w:cs="Times New Roman"/>
          <w:b/>
          <w:bCs/>
          <w:szCs w:val="24"/>
        </w:rPr>
        <w:t xml:space="preserve">, </w:t>
      </w:r>
      <w:r w:rsidRPr="003223F9">
        <w:rPr>
          <w:rFonts w:cs="Times New Roman"/>
          <w:i/>
          <w:iCs/>
          <w:szCs w:val="24"/>
        </w:rPr>
        <w:t>Savan Patel et al</w:t>
      </w:r>
      <w:r w:rsidR="00684983" w:rsidRPr="003223F9">
        <w:rPr>
          <w:rFonts w:cs="Times New Roman"/>
          <w:i/>
          <w:iCs/>
          <w:szCs w:val="24"/>
        </w:rPr>
        <w:t>, 2024</w:t>
      </w:r>
      <w:r w:rsidR="00684983" w:rsidRPr="003223F9">
        <w:rPr>
          <w:rFonts w:cs="Times New Roman"/>
          <w:szCs w:val="24"/>
        </w:rPr>
        <w:t xml:space="preserve"> </w:t>
      </w:r>
      <w:r w:rsidR="00684983" w:rsidRPr="003223F9">
        <w:rPr>
          <w:rFonts w:cs="Times New Roman"/>
          <w:szCs w:val="24"/>
        </w:rPr>
        <w:fldChar w:fldCharType="begin"/>
      </w:r>
      <w:r w:rsidR="00590F36" w:rsidRPr="003223F9">
        <w:rPr>
          <w:rFonts w:cs="Times New Roman"/>
          <w:szCs w:val="24"/>
        </w:rPr>
        <w:instrText xml:space="preserve"> ADDIN EN.CITE &lt;EndNote&gt;&lt;Cite&gt;&lt;Author&gt;Patel&lt;/Author&gt;&lt;Year&gt;2024&lt;/Year&gt;&lt;RecNum&gt;16&lt;/RecNum&gt;&lt;DisplayText&gt;(16)&lt;/DisplayText&gt;&lt;record&gt;&lt;rec-number&gt;16&lt;/rec-number&gt;&lt;foreign-keys&gt;&lt;key app="EN" db-id="z0wzrepeuvref0et2t05pavhwzav92drt9ww" timestamp="1743575093"&gt;16&lt;/key&gt;&lt;/foreign-keys&gt;&lt;ref-type name="Journal Article"&gt;17&lt;/ref-type&gt;&lt;contributors&gt;&lt;authors&gt;&lt;author&gt;Patel, Savan&lt;/author&gt;&lt;author&gt;Zhu, Kexin&lt;/author&gt;&lt;author&gt;Dave, Chintan V&lt;/author&gt;&lt;author&gt;Ghajar, Mina&lt;/author&gt;&lt;author&gt;Zhang, Yingting&lt;/author&gt;&lt;author&gt;Saraiya, Biren&lt;/author&gt;&lt;author&gt;Bandera, Elisa V&lt;/author&gt;&lt;author&gt;Khosrow-Khavar, Farzin&lt;/author&gt;&lt;/authors&gt;&lt;/contributors&gt;&lt;titles&gt;&lt;title&gt;Comparative cardiovascular safety of gonadotropin-releasing hormone antagonists and agonists among patients diagnosed with prostate cancer: a systematic review and meta-analysis of real-world evidence studies&lt;/title&gt;&lt;secondary-title&gt;European Urology Oncology&lt;/secondary-title&gt;&lt;/titles&gt;&lt;periodical&gt;&lt;full-title&gt;European Urology Oncology&lt;/full-title&gt;&lt;/periodical&gt;&lt;dates&gt;&lt;year&gt;2024&lt;/year&gt;&lt;/dates&gt;&lt;isbn&gt;2588-9311&lt;/isbn&gt;&lt;urls&gt;&lt;/urls&gt;&lt;/record&gt;&lt;/Cite&gt;&lt;/EndNote&gt;</w:instrText>
      </w:r>
      <w:r w:rsidR="00684983" w:rsidRPr="003223F9">
        <w:rPr>
          <w:rFonts w:cs="Times New Roman"/>
          <w:szCs w:val="24"/>
        </w:rPr>
        <w:fldChar w:fldCharType="separate"/>
      </w:r>
      <w:r w:rsidR="00590F36" w:rsidRPr="003223F9">
        <w:rPr>
          <w:rFonts w:cs="Times New Roman"/>
          <w:noProof/>
          <w:szCs w:val="24"/>
        </w:rPr>
        <w:t>(16)</w:t>
      </w:r>
      <w:r w:rsidR="00684983" w:rsidRPr="003223F9">
        <w:rPr>
          <w:rFonts w:cs="Times New Roman"/>
          <w:szCs w:val="24"/>
        </w:rPr>
        <w:fldChar w:fldCharType="end"/>
      </w:r>
      <w:r w:rsidRPr="003223F9">
        <w:rPr>
          <w:rFonts w:cs="Times New Roman"/>
          <w:szCs w:val="24"/>
        </w:rPr>
        <w:t>.</w:t>
      </w:r>
      <w:r w:rsidRPr="00B23A9A">
        <w:rPr>
          <w:rFonts w:cs="Times New Roman"/>
          <w:szCs w:val="24"/>
        </w:rPr>
        <w:t xml:space="preserve"> found </w:t>
      </w:r>
      <w:proofErr w:type="spellStart"/>
      <w:r w:rsidRPr="00B23A9A">
        <w:rPr>
          <w:rFonts w:cs="Times New Roman"/>
          <w:szCs w:val="24"/>
        </w:rPr>
        <w:t>degarelix</w:t>
      </w:r>
      <w:proofErr w:type="spellEnd"/>
      <w:r w:rsidRPr="00B23A9A">
        <w:rPr>
          <w:rFonts w:cs="Times New Roman"/>
          <w:szCs w:val="24"/>
        </w:rPr>
        <w:t xml:space="preserve"> raises MACE risk (RR: 1.31, 95% CI: 1.14–1.51), particularly in patients with prior heart disease, directly opposing our results within prostate cancer. In reproductive medicine, </w:t>
      </w:r>
      <w:r w:rsidRPr="003223F9">
        <w:rPr>
          <w:rFonts w:cs="Times New Roman"/>
          <w:i/>
          <w:iCs/>
          <w:szCs w:val="24"/>
        </w:rPr>
        <w:t xml:space="preserve">Bodri </w:t>
      </w:r>
      <w:r w:rsidR="00684983" w:rsidRPr="003223F9">
        <w:rPr>
          <w:rFonts w:cs="Times New Roman"/>
          <w:i/>
          <w:iCs/>
          <w:szCs w:val="24"/>
        </w:rPr>
        <w:t>et al</w:t>
      </w:r>
      <w:r w:rsidR="003223F9" w:rsidRPr="003223F9">
        <w:rPr>
          <w:rFonts w:cs="Times New Roman"/>
          <w:i/>
          <w:iCs/>
          <w:szCs w:val="24"/>
        </w:rPr>
        <w:t>,</w:t>
      </w:r>
      <w:r w:rsidR="00684983" w:rsidRPr="003223F9">
        <w:rPr>
          <w:rFonts w:cs="Times New Roman"/>
          <w:i/>
          <w:iCs/>
          <w:szCs w:val="24"/>
        </w:rPr>
        <w:t xml:space="preserve"> </w:t>
      </w:r>
      <w:r w:rsidRPr="003223F9">
        <w:rPr>
          <w:rFonts w:cs="Times New Roman"/>
          <w:i/>
          <w:iCs/>
          <w:szCs w:val="24"/>
        </w:rPr>
        <w:t>2011</w:t>
      </w:r>
      <w:r w:rsidRPr="003223F9">
        <w:rPr>
          <w:rFonts w:cs="Times New Roman"/>
          <w:szCs w:val="24"/>
        </w:rPr>
        <w:t xml:space="preserve"> </w:t>
      </w:r>
      <w:r w:rsidR="00590F36" w:rsidRPr="003223F9">
        <w:rPr>
          <w:rFonts w:cs="Times New Roman"/>
          <w:szCs w:val="24"/>
        </w:rPr>
        <w:fldChar w:fldCharType="begin"/>
      </w:r>
      <w:r w:rsidR="00590F36" w:rsidRPr="003223F9">
        <w:rPr>
          <w:rFonts w:cs="Times New Roman"/>
          <w:szCs w:val="24"/>
        </w:rPr>
        <w:instrText xml:space="preserve"> ADDIN EN.CITE &lt;EndNote&gt;&lt;Cite&gt;&lt;Author&gt;Bodri&lt;/Author&gt;&lt;Year&gt;2011&lt;/Year&gt;&lt;RecNum&gt;27&lt;/RecNum&gt;&lt;DisplayText&gt;(17)&lt;/DisplayText&gt;&lt;record&gt;&lt;rec-number&gt;27&lt;/rec-number&gt;&lt;foreign-keys&gt;&lt;key app="EN" db-id="z0wzrepeuvref0et2t05pavhwzav92drt9ww" timestamp="1743576862"&gt;27&lt;/key&gt;&lt;/foreign-keys&gt;&lt;ref-type name="Journal Article"&gt;17&lt;/ref-type&gt;&lt;contributors&gt;&lt;authors&gt;&lt;author&gt;Bodri, Daniel&lt;/author&gt;&lt;author&gt;Sunkara, Sesh Kamal&lt;/author&gt;&lt;author&gt;Coomarasamy, Arri&lt;/author&gt;&lt;/authors&gt;&lt;/contributors&gt;&lt;titles&gt;&lt;title&gt;Gonadotropin-releasing hormone agonists versus antagonists for controlled ovarian hyperstimulation in oocyte donors: a systematic review and meta-analysis&lt;/title&gt;&lt;secondary-title&gt;Fertility and sterility&lt;/secondary-title&gt;&lt;/titles&gt;&lt;periodical&gt;&lt;full-title&gt;Fertility and sterility&lt;/full-title&gt;&lt;/periodical&gt;&lt;pages&gt;164-169&lt;/pages&gt;&lt;volume&gt;95&lt;/volume&gt;&lt;number&gt;1&lt;/number&gt;&lt;dates&gt;&lt;year&gt;2011&lt;/year&gt;&lt;/dates&gt;&lt;isbn&gt;0015-0282&lt;/isbn&gt;&lt;urls&gt;&lt;/urls&gt;&lt;/record&gt;&lt;/Cite&gt;&lt;/EndNote&gt;</w:instrText>
      </w:r>
      <w:r w:rsidR="00590F36" w:rsidRPr="003223F9">
        <w:rPr>
          <w:rFonts w:cs="Times New Roman"/>
          <w:szCs w:val="24"/>
        </w:rPr>
        <w:fldChar w:fldCharType="separate"/>
      </w:r>
      <w:r w:rsidR="00590F36" w:rsidRPr="003223F9">
        <w:rPr>
          <w:rFonts w:cs="Times New Roman"/>
          <w:noProof/>
          <w:szCs w:val="24"/>
        </w:rPr>
        <w:t>(17)</w:t>
      </w:r>
      <w:r w:rsidR="00590F36" w:rsidRPr="003223F9">
        <w:rPr>
          <w:rFonts w:cs="Times New Roman"/>
          <w:szCs w:val="24"/>
        </w:rPr>
        <w:fldChar w:fldCharType="end"/>
      </w:r>
      <w:r w:rsidR="00590F36" w:rsidRPr="003223F9">
        <w:rPr>
          <w:rFonts w:cs="Times New Roman"/>
          <w:szCs w:val="24"/>
        </w:rPr>
        <w:t xml:space="preserve"> </w:t>
      </w:r>
      <w:r w:rsidRPr="003223F9">
        <w:rPr>
          <w:rFonts w:cs="Times New Roman"/>
          <w:szCs w:val="24"/>
        </w:rPr>
        <w:t xml:space="preserve">and </w:t>
      </w:r>
      <w:r w:rsidRPr="003223F9">
        <w:rPr>
          <w:rFonts w:cs="Times New Roman"/>
          <w:i/>
          <w:iCs/>
          <w:szCs w:val="24"/>
        </w:rPr>
        <w:t xml:space="preserve">Xiao </w:t>
      </w:r>
      <w:r w:rsidR="00684983" w:rsidRPr="003223F9">
        <w:rPr>
          <w:rFonts w:cs="Times New Roman"/>
          <w:i/>
          <w:iCs/>
          <w:szCs w:val="24"/>
        </w:rPr>
        <w:t>et al</w:t>
      </w:r>
      <w:r w:rsidR="003223F9" w:rsidRPr="003223F9">
        <w:rPr>
          <w:rFonts w:cs="Times New Roman"/>
          <w:i/>
          <w:iCs/>
          <w:szCs w:val="24"/>
        </w:rPr>
        <w:t>,</w:t>
      </w:r>
      <w:r w:rsidR="00684983" w:rsidRPr="003223F9">
        <w:rPr>
          <w:rFonts w:cs="Times New Roman"/>
          <w:i/>
          <w:iCs/>
          <w:szCs w:val="24"/>
        </w:rPr>
        <w:t xml:space="preserve"> </w:t>
      </w:r>
      <w:r w:rsidRPr="003223F9">
        <w:rPr>
          <w:rFonts w:cs="Times New Roman"/>
          <w:i/>
          <w:iCs/>
          <w:szCs w:val="24"/>
        </w:rPr>
        <w:t>2012</w:t>
      </w:r>
      <w:r w:rsidR="00590F36" w:rsidRPr="003223F9">
        <w:rPr>
          <w:rFonts w:cs="Times New Roman"/>
          <w:i/>
          <w:iCs/>
          <w:szCs w:val="24"/>
        </w:rPr>
        <w:fldChar w:fldCharType="begin"/>
      </w:r>
      <w:r w:rsidR="00590F36" w:rsidRPr="003223F9">
        <w:rPr>
          <w:rFonts w:cs="Times New Roman"/>
          <w:i/>
          <w:iCs/>
          <w:szCs w:val="24"/>
        </w:rPr>
        <w:instrText xml:space="preserve"> ADDIN EN.CITE &lt;EndNote&gt;&lt;Cite&gt;&lt;Author&gt;Xiao&lt;/Author&gt;&lt;Year&gt;2013&lt;/Year&gt;&lt;RecNum&gt;28&lt;/RecNum&gt;&lt;DisplayText&gt;(18)&lt;/DisplayText&gt;&lt;record&gt;&lt;rec-number&gt;28&lt;/rec-number&gt;&lt;foreign-keys&gt;&lt;key app="EN" db-id="z0wzrepeuvref0et2t05pavhwzav92drt9ww" timestamp="1743576899"&gt;28&lt;/key&gt;&lt;/foreign-keys&gt;&lt;ref-type name="Journal Article"&gt;17&lt;/ref-type&gt;&lt;contributors&gt;&lt;authors&gt;&lt;author&gt;Xiao, Jinsong&lt;/author&gt;&lt;author&gt;Chang, Shuang&lt;/author&gt;&lt;author&gt;Chen, Shuangyun&lt;/author&gt;&lt;/authors&gt;&lt;/contributors&gt;&lt;titles&gt;&lt;title&gt;The effectiveness of gonadotropin-releasing hormone antagonist in poor ovarian responders undergoing in vitro fertilization: a systematic review and meta-analysis&lt;/title&gt;&lt;secondary-title&gt;Fertility and sterility&lt;/secondary-title&gt;&lt;/titles&gt;&lt;periodical&gt;&lt;full-title&gt;Fertility and sterility&lt;/full-title&gt;&lt;/periodical&gt;&lt;pages&gt;1594-1601. e9&lt;/pages&gt;&lt;volume&gt;100&lt;/volume&gt;&lt;number&gt;6&lt;/number&gt;&lt;dates&gt;&lt;year&gt;2013&lt;/year&gt;&lt;/dates&gt;&lt;isbn&gt;0015-0282&lt;/isbn&gt;&lt;urls&gt;&lt;/urls&gt;&lt;/record&gt;&lt;/Cite&gt;&lt;/EndNote&gt;</w:instrText>
      </w:r>
      <w:r w:rsidR="00590F36" w:rsidRPr="003223F9">
        <w:rPr>
          <w:rFonts w:cs="Times New Roman"/>
          <w:i/>
          <w:iCs/>
          <w:szCs w:val="24"/>
        </w:rPr>
        <w:fldChar w:fldCharType="separate"/>
      </w:r>
      <w:r w:rsidR="00590F36" w:rsidRPr="003223F9">
        <w:rPr>
          <w:rFonts w:cs="Times New Roman"/>
          <w:i/>
          <w:iCs/>
          <w:noProof/>
          <w:szCs w:val="24"/>
        </w:rPr>
        <w:t>(18)</w:t>
      </w:r>
      <w:r w:rsidR="00590F36" w:rsidRPr="003223F9">
        <w:rPr>
          <w:rFonts w:cs="Times New Roman"/>
          <w:i/>
          <w:iCs/>
          <w:szCs w:val="24"/>
        </w:rPr>
        <w:fldChar w:fldCharType="end"/>
      </w:r>
      <w:r w:rsidRPr="00FA3237">
        <w:rPr>
          <w:rFonts w:cs="Times New Roman"/>
          <w:b/>
          <w:bCs/>
          <w:szCs w:val="24"/>
        </w:rPr>
        <w:t xml:space="preserve"> </w:t>
      </w:r>
      <w:r w:rsidRPr="00B23A9A">
        <w:rPr>
          <w:rFonts w:cs="Times New Roman"/>
          <w:szCs w:val="24"/>
        </w:rPr>
        <w:t xml:space="preserve">report </w:t>
      </w:r>
      <w:r w:rsidR="00684983">
        <w:rPr>
          <w:rFonts w:cs="Times New Roman"/>
          <w:szCs w:val="24"/>
        </w:rPr>
        <w:t xml:space="preserve">that </w:t>
      </w:r>
      <w:r w:rsidRPr="00B23A9A">
        <w:rPr>
          <w:rFonts w:cs="Times New Roman"/>
          <w:szCs w:val="24"/>
        </w:rPr>
        <w:t>antagonists reduce OHSS risk in oocyte donors (RR: 0.62, non-significant) and PCOS IVF patients (OR: 0.36, significant), respectively—a safety advantage unrelated to our CV focus. This highlights GnRH safety’s sharp contextual divide: cardiovascular risks in prostate cancer versus OHSS in reproduction.</w:t>
      </w:r>
    </w:p>
    <w:p w14:paraId="5EF1491B" w14:textId="3747CA26" w:rsidR="00FA3237" w:rsidRDefault="00B23A9A" w:rsidP="00FA3237">
      <w:pPr>
        <w:jc w:val="both"/>
        <w:rPr>
          <w:rFonts w:cs="Times New Roman"/>
          <w:szCs w:val="24"/>
        </w:rPr>
      </w:pPr>
      <w:proofErr w:type="spellStart"/>
      <w:r w:rsidRPr="003223F9">
        <w:rPr>
          <w:rFonts w:cs="Times New Roman"/>
          <w:i/>
          <w:iCs/>
          <w:szCs w:val="24"/>
        </w:rPr>
        <w:lastRenderedPageBreak/>
        <w:t>Sofiyeva</w:t>
      </w:r>
      <w:proofErr w:type="spellEnd"/>
      <w:r w:rsidRPr="003223F9">
        <w:rPr>
          <w:rFonts w:cs="Times New Roman"/>
          <w:i/>
          <w:iCs/>
          <w:szCs w:val="24"/>
        </w:rPr>
        <w:t xml:space="preserve"> et al. </w:t>
      </w:r>
      <w:r w:rsidR="00590F36" w:rsidRPr="003223F9">
        <w:rPr>
          <w:rFonts w:cs="Times New Roman"/>
          <w:i/>
          <w:iCs/>
          <w:szCs w:val="24"/>
        </w:rPr>
        <w:t>2019</w:t>
      </w:r>
      <w:r w:rsidR="00C0359B">
        <w:rPr>
          <w:rFonts w:cs="Times New Roman"/>
          <w:i/>
          <w:iCs/>
          <w:szCs w:val="24"/>
        </w:rPr>
        <w:t xml:space="preserve"> </w:t>
      </w:r>
      <w:r w:rsidR="00590F36" w:rsidRPr="003223F9">
        <w:rPr>
          <w:rFonts w:cs="Times New Roman"/>
          <w:i/>
          <w:iCs/>
          <w:szCs w:val="24"/>
        </w:rPr>
        <w:fldChar w:fldCharType="begin"/>
      </w:r>
      <w:r w:rsidR="00590F36" w:rsidRPr="003223F9">
        <w:rPr>
          <w:rFonts w:cs="Times New Roman"/>
          <w:i/>
          <w:iCs/>
          <w:szCs w:val="24"/>
        </w:rPr>
        <w:instrText xml:space="preserve"> ADDIN EN.CITE &lt;EndNote&gt;&lt;Cite&gt;&lt;Author&gt;Sofiyeva&lt;/Author&gt;&lt;Year&gt;2019&lt;/Year&gt;&lt;RecNum&gt;29&lt;/RecNum&gt;&lt;DisplayText&gt;(19)&lt;/DisplayText&gt;&lt;record&gt;&lt;rec-number&gt;29&lt;/rec-number&gt;&lt;foreign-keys&gt;&lt;key app="EN" db-id="z0wzrepeuvref0et2t05pavhwzav92drt9ww" timestamp="1743576940"&gt;29&lt;/key&gt;&lt;/foreign-keys&gt;&lt;ref-type name="Journal Article"&gt;17&lt;/ref-type&gt;&lt;contributors&gt;&lt;authors&gt;&lt;author&gt;Sofiyeva, Nigar&lt;/author&gt;&lt;author&gt;Siepmann, Timo&lt;/author&gt;&lt;author&gt;Barlinn, Kristian&lt;/author&gt;&lt;author&gt;Seli, Emre&lt;/author&gt;&lt;author&gt;Ata, Baris&lt;/author&gt;&lt;/authors&gt;&lt;/contributors&gt;&lt;titles&gt;&lt;title&gt;Gonadotropin-releasing hormone analogs for gonadal protection during gonadotoxic chemotherapy: a systematic review and meta-analysis&lt;/title&gt;&lt;secondary-title&gt;Reproductive Sciences&lt;/secondary-title&gt;&lt;/titles&gt;&lt;periodical&gt;&lt;full-title&gt;Reproductive Sciences&lt;/full-title&gt;&lt;/periodical&gt;&lt;pages&gt;939-953&lt;/pages&gt;&lt;volume&gt;26&lt;/volume&gt;&lt;number&gt;7&lt;/number&gt;&lt;dates&gt;&lt;year&gt;2019&lt;/year&gt;&lt;/dates&gt;&lt;isbn&gt;1933-7191&lt;/isbn&gt;&lt;urls&gt;&lt;/urls&gt;&lt;/record&gt;&lt;/Cite&gt;&lt;/EndNote&gt;</w:instrText>
      </w:r>
      <w:r w:rsidR="00590F36" w:rsidRPr="003223F9">
        <w:rPr>
          <w:rFonts w:cs="Times New Roman"/>
          <w:i/>
          <w:iCs/>
          <w:szCs w:val="24"/>
        </w:rPr>
        <w:fldChar w:fldCharType="separate"/>
      </w:r>
      <w:r w:rsidR="00590F36" w:rsidRPr="003223F9">
        <w:rPr>
          <w:rFonts w:cs="Times New Roman"/>
          <w:i/>
          <w:iCs/>
          <w:noProof/>
          <w:szCs w:val="24"/>
        </w:rPr>
        <w:t>(19)</w:t>
      </w:r>
      <w:r w:rsidR="00590F36" w:rsidRPr="003223F9">
        <w:rPr>
          <w:rFonts w:cs="Times New Roman"/>
          <w:i/>
          <w:iCs/>
          <w:szCs w:val="24"/>
        </w:rPr>
        <w:fldChar w:fldCharType="end"/>
      </w:r>
      <w:r w:rsidR="00590F36" w:rsidRPr="003223F9">
        <w:rPr>
          <w:rFonts w:cs="Times New Roman"/>
          <w:i/>
          <w:iCs/>
          <w:szCs w:val="24"/>
        </w:rPr>
        <w:t xml:space="preserve"> </w:t>
      </w:r>
      <w:r w:rsidRPr="003223F9">
        <w:rPr>
          <w:rFonts w:cs="Times New Roman"/>
          <w:i/>
          <w:iCs/>
          <w:szCs w:val="24"/>
        </w:rPr>
        <w:t>and Lingli Xin</w:t>
      </w:r>
      <w:r w:rsidR="003223F9" w:rsidRPr="003223F9">
        <w:rPr>
          <w:rFonts w:cs="Times New Roman"/>
          <w:i/>
          <w:iCs/>
          <w:szCs w:val="24"/>
        </w:rPr>
        <w:t xml:space="preserve"> et al</w:t>
      </w:r>
      <w:r w:rsidR="003223F9">
        <w:rPr>
          <w:rFonts w:cs="Times New Roman"/>
          <w:i/>
          <w:iCs/>
          <w:szCs w:val="24"/>
        </w:rPr>
        <w:t>,</w:t>
      </w:r>
      <w:r w:rsidR="003223F9" w:rsidRPr="003223F9">
        <w:rPr>
          <w:rFonts w:cs="Times New Roman"/>
          <w:i/>
          <w:iCs/>
          <w:szCs w:val="24"/>
        </w:rPr>
        <w:t xml:space="preserve"> 2023</w:t>
      </w:r>
      <w:r w:rsidRPr="003223F9">
        <w:rPr>
          <w:rFonts w:cs="Times New Roman"/>
          <w:i/>
          <w:iCs/>
          <w:szCs w:val="24"/>
        </w:rPr>
        <w:t xml:space="preserve"> </w:t>
      </w:r>
      <w:r w:rsidR="003223F9" w:rsidRPr="003223F9">
        <w:rPr>
          <w:rFonts w:cs="Times New Roman"/>
          <w:i/>
          <w:iCs/>
          <w:szCs w:val="24"/>
        </w:rPr>
        <w:fldChar w:fldCharType="begin"/>
      </w:r>
      <w:r w:rsidR="003223F9" w:rsidRPr="003223F9">
        <w:rPr>
          <w:rFonts w:cs="Times New Roman"/>
          <w:i/>
          <w:iCs/>
          <w:szCs w:val="24"/>
        </w:rPr>
        <w:instrText xml:space="preserve"> ADDIN EN.CITE &lt;EndNote&gt;&lt;Cite&gt;&lt;Author&gt;Xin&lt;/Author&gt;&lt;Year&gt;2023&lt;/Year&gt;&lt;RecNum&gt;30&lt;/RecNum&gt;&lt;DisplayText&gt;(20)&lt;/DisplayText&gt;&lt;record&gt;&lt;rec-number&gt;30&lt;/rec-number&gt;&lt;foreign-keys&gt;&lt;key app="EN" db-id="z0wzrepeuvref0et2t05pavhwzav92drt9ww" timestamp="1743576986"&gt;30&lt;/key&gt;&lt;/foreign-keys&gt;&lt;ref-type name="Journal Article"&gt;17&lt;/ref-type&gt;&lt;contributors&gt;&lt;authors&gt;&lt;author&gt;Xin, Lingli&lt;/author&gt;&lt;author&gt;Ma, Yinghao&lt;/author&gt;&lt;author&gt;Ye, Mei&lt;/author&gt;&lt;author&gt;Chen, Ling&lt;/author&gt;&lt;author&gt;Liu, Fuzhou&lt;/author&gt;&lt;author&gt;Hou, Qingxiang&lt;/author&gt;&lt;/authors&gt;&lt;/contributors&gt;&lt;titles&gt;&lt;title&gt;Efficacy and safety of oral gonadotropin-releasing hormone antagonists in moderate-to-severe endometriosis-associated pain: a systematic review and network meta-analysis&lt;/title&gt;&lt;secondary-title&gt;Archives of gynecology and obstetrics&lt;/secondary-title&gt;&lt;/titles&gt;&lt;periodical&gt;&lt;full-title&gt;Archives of gynecology and obstetrics&lt;/full-title&gt;&lt;/periodical&gt;&lt;pages&gt;1047-1056&lt;/pages&gt;&lt;volume&gt;308&lt;/volume&gt;&lt;number&gt;4&lt;/number&gt;&lt;dates&gt;&lt;year&gt;2023&lt;/year&gt;&lt;/dates&gt;&lt;isbn&gt;1432-0711&lt;/isbn&gt;&lt;urls&gt;&lt;/urls&gt;&lt;/record&gt;&lt;/Cite&gt;&lt;/EndNote&gt;</w:instrText>
      </w:r>
      <w:r w:rsidR="003223F9" w:rsidRPr="003223F9">
        <w:rPr>
          <w:rFonts w:cs="Times New Roman"/>
          <w:i/>
          <w:iCs/>
          <w:szCs w:val="24"/>
        </w:rPr>
        <w:fldChar w:fldCharType="separate"/>
      </w:r>
      <w:r w:rsidR="003223F9" w:rsidRPr="003223F9">
        <w:rPr>
          <w:rFonts w:cs="Times New Roman"/>
          <w:i/>
          <w:iCs/>
          <w:noProof/>
          <w:szCs w:val="24"/>
        </w:rPr>
        <w:t>(20)</w:t>
      </w:r>
      <w:r w:rsidR="003223F9" w:rsidRPr="003223F9">
        <w:rPr>
          <w:rFonts w:cs="Times New Roman"/>
          <w:i/>
          <w:iCs/>
          <w:szCs w:val="24"/>
        </w:rPr>
        <w:fldChar w:fldCharType="end"/>
      </w:r>
      <w:r w:rsidR="003223F9">
        <w:rPr>
          <w:rFonts w:cs="Times New Roman"/>
          <w:i/>
          <w:iCs/>
          <w:szCs w:val="24"/>
        </w:rPr>
        <w:t xml:space="preserve"> </w:t>
      </w:r>
      <w:r w:rsidRPr="00B23A9A">
        <w:rPr>
          <w:rFonts w:cs="Times New Roman"/>
          <w:szCs w:val="24"/>
        </w:rPr>
        <w:t xml:space="preserve">further differ, noting menopausal symptoms (hot flashes, vaginal dryness) and injection site reactions in fertility preservation and endometriosis, with Xin adding dose-dependent bone density risks for antagonists. Unlike our NMA’s agonist-antagonist comparison, neither study contrasts the two, and their female-focused adverse events diverge from our male CV perspective and </w:t>
      </w:r>
      <w:r w:rsidRPr="001E5577">
        <w:rPr>
          <w:rFonts w:cs="Times New Roman"/>
          <w:szCs w:val="24"/>
        </w:rPr>
        <w:t>Patel’s findings</w:t>
      </w:r>
      <w:r w:rsidR="003223F9">
        <w:rPr>
          <w:rFonts w:cs="Times New Roman"/>
          <w:b/>
          <w:bCs/>
          <w:szCs w:val="24"/>
        </w:rPr>
        <w:t xml:space="preserve"> </w:t>
      </w:r>
      <w:r w:rsidR="003223F9" w:rsidRPr="003223F9">
        <w:rPr>
          <w:rFonts w:cs="Times New Roman"/>
          <w:szCs w:val="24"/>
        </w:rPr>
        <w:fldChar w:fldCharType="begin"/>
      </w:r>
      <w:r w:rsidR="003223F9" w:rsidRPr="003223F9">
        <w:rPr>
          <w:rFonts w:cs="Times New Roman"/>
          <w:szCs w:val="24"/>
        </w:rPr>
        <w:instrText xml:space="preserve"> ADDIN EN.CITE &lt;EndNote&gt;&lt;Cite&gt;&lt;Author&gt;Patel&lt;/Author&gt;&lt;Year&gt;2024&lt;/Year&gt;&lt;RecNum&gt;16&lt;/RecNum&gt;&lt;DisplayText&gt;(16)&lt;/DisplayText&gt;&lt;record&gt;&lt;rec-number&gt;16&lt;/rec-number&gt;&lt;foreign-keys&gt;&lt;key app="EN" db-id="z0wzrepeuvref0et2t05pavhwzav92drt9ww" timestamp="1743575093"&gt;16&lt;/key&gt;&lt;/foreign-keys&gt;&lt;ref-type name="Journal Article"&gt;17&lt;/ref-type&gt;&lt;contributors&gt;&lt;authors&gt;&lt;author&gt;Patel, Savan&lt;/author&gt;&lt;author&gt;Zhu, Kexin&lt;/author&gt;&lt;author&gt;Dave, Chintan V&lt;/author&gt;&lt;author&gt;Ghajar, Mina&lt;/author&gt;&lt;author&gt;Zhang, Yingting&lt;/author&gt;&lt;author&gt;Saraiya, Biren&lt;/author&gt;&lt;author&gt;Bandera, Elisa V&lt;/author&gt;&lt;author&gt;Khosrow-Khavar, Farzin&lt;/author&gt;&lt;/authors&gt;&lt;/contributors&gt;&lt;titles&gt;&lt;title&gt;Comparative cardiovascular safety of gonadotropin-releasing hormone antagonists and agonists among patients diagnosed with prostate cancer: a systematic review and meta-analysis of real-world evidence studies&lt;/title&gt;&lt;secondary-title&gt;European Urology Oncology&lt;/secondary-title&gt;&lt;/titles&gt;&lt;periodical&gt;&lt;full-title&gt;European Urology Oncology&lt;/full-title&gt;&lt;/periodical&gt;&lt;dates&gt;&lt;year&gt;2024&lt;/year&gt;&lt;/dates&gt;&lt;isbn&gt;2588-9311&lt;/isbn&gt;&lt;urls&gt;&lt;/urls&gt;&lt;/record&gt;&lt;/Cite&gt;&lt;/EndNote&gt;</w:instrText>
      </w:r>
      <w:r w:rsidR="003223F9" w:rsidRPr="003223F9">
        <w:rPr>
          <w:rFonts w:cs="Times New Roman"/>
          <w:szCs w:val="24"/>
        </w:rPr>
        <w:fldChar w:fldCharType="separate"/>
      </w:r>
      <w:r w:rsidR="003223F9" w:rsidRPr="003223F9">
        <w:rPr>
          <w:rFonts w:cs="Times New Roman"/>
          <w:noProof/>
          <w:szCs w:val="24"/>
        </w:rPr>
        <w:t>(16)</w:t>
      </w:r>
      <w:r w:rsidR="003223F9" w:rsidRPr="003223F9">
        <w:rPr>
          <w:rFonts w:cs="Times New Roman"/>
          <w:szCs w:val="24"/>
        </w:rPr>
        <w:fldChar w:fldCharType="end"/>
      </w:r>
      <w:r w:rsidRPr="00B23A9A">
        <w:rPr>
          <w:rFonts w:cs="Times New Roman"/>
          <w:szCs w:val="24"/>
        </w:rPr>
        <w:t xml:space="preserve">. Our NMA’s network approach (8 studies) differs from Patel’s bias-affected real-world data and Bodri/Xiao’s precise RCTs, while high heterogeneity (e.g., NMA Q = 46.67, </w:t>
      </w:r>
      <w:proofErr w:type="spellStart"/>
      <w:r w:rsidRPr="00B23A9A">
        <w:rPr>
          <w:rFonts w:cs="Times New Roman"/>
          <w:szCs w:val="24"/>
        </w:rPr>
        <w:t>Sofiyeva</w:t>
      </w:r>
      <w:proofErr w:type="spellEnd"/>
      <w:r w:rsidRPr="00B23A9A">
        <w:rPr>
          <w:rFonts w:cs="Times New Roman"/>
          <w:szCs w:val="24"/>
        </w:rPr>
        <w:t xml:space="preserve"> I² = 83.3%) indicates variability across studies. This suggests antagonists may prevent OHSS in reproductive contexts but have unclear CV risks in prostate cancer, with menopausal symptoms a recurring issue in women, emphasizing the need for context-tailored safety evaluations.</w:t>
      </w:r>
    </w:p>
    <w:p w14:paraId="14DE8B2F" w14:textId="1CDE58A3" w:rsidR="00EF7CF7" w:rsidRDefault="00FA3237" w:rsidP="00FA3237">
      <w:pPr>
        <w:jc w:val="both"/>
        <w:rPr>
          <w:rFonts w:cs="Times New Roman"/>
          <w:szCs w:val="24"/>
        </w:rPr>
      </w:pPr>
      <w:r w:rsidRPr="00EF7CF7">
        <w:rPr>
          <w:rFonts w:cs="Times New Roman"/>
          <w:szCs w:val="24"/>
        </w:rPr>
        <w:t xml:space="preserve">This NMA draws strength from integrating </w:t>
      </w:r>
      <w:r w:rsidRPr="00FA3237">
        <w:rPr>
          <w:rFonts w:cs="Times New Roman"/>
          <w:szCs w:val="24"/>
        </w:rPr>
        <w:t>eight retrospective cohort studies across diverse regions, including Taiwan, the UK, Canada, the USA, Italy, and France, ensuring a broad representation of patient populations and clinical practices. By employing a network approach, it simultaneously compares multiple treatments—</w:t>
      </w:r>
      <w:proofErr w:type="spellStart"/>
      <w:r w:rsidRPr="00FA3237">
        <w:rPr>
          <w:rFonts w:cs="Times New Roman"/>
          <w:szCs w:val="24"/>
        </w:rPr>
        <w:t>degarelix</w:t>
      </w:r>
      <w:proofErr w:type="spellEnd"/>
      <w:r w:rsidRPr="00FA3237">
        <w:rPr>
          <w:rFonts w:cs="Times New Roman"/>
          <w:szCs w:val="24"/>
        </w:rPr>
        <w:t xml:space="preserve">, goserelin, leuprolide, triptorelin, and antiandrogens—providing safety rankings via SUCRA (e.g., </w:t>
      </w:r>
      <w:proofErr w:type="spellStart"/>
      <w:r w:rsidRPr="00FA3237">
        <w:rPr>
          <w:rFonts w:cs="Times New Roman"/>
          <w:szCs w:val="24"/>
        </w:rPr>
        <w:t>degarelix</w:t>
      </w:r>
      <w:proofErr w:type="spellEnd"/>
      <w:r w:rsidRPr="00FA3237">
        <w:rPr>
          <w:rFonts w:cs="Times New Roman"/>
          <w:szCs w:val="24"/>
        </w:rPr>
        <w:t xml:space="preserve">: 0.69, antiandrogens: 0.79) based on an extensive dataset of 5,952 records. Adhering to PRISMA-NMA guidelines, the study conducted a systematic search in PubMed, Embase, and Web of Science, with independent screening and data extraction using Nested Knowledge software to enhance reliability. Frequentist analysis in R, incorporating consistency checks and funnel plots, reinforces the validity of findings, particularly regarding </w:t>
      </w:r>
      <w:proofErr w:type="spellStart"/>
      <w:r w:rsidRPr="00FA3237">
        <w:rPr>
          <w:rFonts w:cs="Times New Roman"/>
          <w:szCs w:val="24"/>
        </w:rPr>
        <w:t>degarelix’s</w:t>
      </w:r>
      <w:proofErr w:type="spellEnd"/>
      <w:r w:rsidRPr="00FA3237">
        <w:rPr>
          <w:rFonts w:cs="Times New Roman"/>
          <w:szCs w:val="24"/>
        </w:rPr>
        <w:t xml:space="preserve"> lower cardiovascular risk (RR: 0.62, 95% CI: 0.41–0.95). This comparative framework strengthens its relevance for clinical decision-making and future research on ADT safety in prostate cancer.</w:t>
      </w:r>
    </w:p>
    <w:p w14:paraId="6C5148A8" w14:textId="18FB2BF3" w:rsidR="0048022F" w:rsidRDefault="00EF7CF7" w:rsidP="00FA3237">
      <w:pPr>
        <w:jc w:val="both"/>
      </w:pPr>
      <w:r>
        <w:t xml:space="preserve">This network meta-analysis (NMA) has notable limitations due to its reliance on eight retrospective cohort studies, which, while reflective of real-world conditions, introduce risks of confounding factors such as unadjusted comorbidities and treatment durations. Variability in sample sizes (101 to 24,846 participants) and follow-up periods (0.19 to 3.3 years) affects reliability, particularly for rare cardiovascular events. Significant heterogeneity (Q = 46.67, p &lt; 0.0001), especially in the </w:t>
      </w:r>
      <w:proofErr w:type="spellStart"/>
      <w:r>
        <w:t>GnRHa</w:t>
      </w:r>
      <w:proofErr w:type="spellEnd"/>
      <w:r>
        <w:t xml:space="preserve"> vs. </w:t>
      </w:r>
      <w:proofErr w:type="spellStart"/>
      <w:r>
        <w:t>degarelix</w:t>
      </w:r>
      <w:proofErr w:type="spellEnd"/>
      <w:r>
        <w:t xml:space="preserve"> comparison, reduces confidence in pooled results. The absence of randomized controlled trials (RCTs) limits causal inference, and moderate publication bias suggests potential underrepresentation of negative findings. Additionally, the review process, despite following PRISMA-NMA guidelines, was restricted to English-language studies from select databases, increasing the risk of missing relevant data. The use of a fixed-effects model may have underestimated variability given the high heterogeneity (I² = 89.7% in some comparisons). Data extraction and quality assessment, reliant on two reviewers using Nested Knowledge software, involved subjective judgments that could introduce bias. The exclusion of studies lacking full text or comprehensive cardiovascular outcome data further narrows the evidence base, potentially limiting the scope of indirect comparisons.</w:t>
      </w:r>
    </w:p>
    <w:p w14:paraId="248E94A8" w14:textId="36A84C86" w:rsidR="00C7493B" w:rsidRDefault="0048022F" w:rsidP="00FA3237">
      <w:pPr>
        <w:jc w:val="both"/>
        <w:rPr>
          <w:rFonts w:cs="Times New Roman"/>
          <w:szCs w:val="24"/>
        </w:rPr>
      </w:pPr>
      <w:r w:rsidRPr="0048022F">
        <w:rPr>
          <w:rFonts w:cs="Times New Roman"/>
          <w:szCs w:val="24"/>
        </w:rPr>
        <w:t xml:space="preserve">The findings of this NMA have important implications for clinical practice, policy, and future research. Clinically, the results suggest that GnRH antagonists, particularly </w:t>
      </w:r>
      <w:proofErr w:type="spellStart"/>
      <w:r w:rsidRPr="0048022F">
        <w:rPr>
          <w:rFonts w:cs="Times New Roman"/>
          <w:szCs w:val="24"/>
        </w:rPr>
        <w:t>degarelix</w:t>
      </w:r>
      <w:proofErr w:type="spellEnd"/>
      <w:r w:rsidRPr="0048022F">
        <w:rPr>
          <w:rFonts w:cs="Times New Roman"/>
          <w:szCs w:val="24"/>
        </w:rPr>
        <w:t xml:space="preserve">, may </w:t>
      </w:r>
      <w:r w:rsidRPr="0048022F">
        <w:rPr>
          <w:rFonts w:cs="Times New Roman"/>
          <w:szCs w:val="24"/>
        </w:rPr>
        <w:lastRenderedPageBreak/>
        <w:t>offer a lower cardiovascular risk compared to agonists, making them a potentially safer choice for patients with pre-existing cardiovascular disease. However, given the inconsistencies in findings, individualized treatment decisions remain crucial, considering factors such as cancer stage, comorbidities, and patient preferences. From a policy perspective, these findings highlight the need to update clinical guidelines to incorporate cardiovascular risk stratification when prescribing androgen deprivation therapy (ADT). Organizations like the European Association of Urology (EAU) and the American Urological Association (AUA) may need to revise their recommendations to prioritize GnRH antagonists for high-risk patients. Additionally, insurance policies and healthcare reimbursement structures should be adjusted to ensure equal access to these treatments. Future research should focus on conducting large-scale RCTs to confirm cardiovascular differences between GnRH agonists and antagonists, as well as long-term follow-up studies to determine whether these differences persist over time. Further subgroup analyses should explore cardiovascular risks in specific populations, such as patients with diabetes or metabolic syndrome, while real-world data from electronic health records and AI-driven models could improve risk prediction and treatment optimization. Finally, comparative cost-effectiveness studies are needed to assess whether the higher cost of antagonists is justified by their potential cardiovascular benefits, particularly in publicly funded healthcare systems.</w:t>
      </w:r>
    </w:p>
    <w:p w14:paraId="182D2174" w14:textId="77777777" w:rsidR="00C73D1A" w:rsidRDefault="00C73D1A">
      <w:pPr>
        <w:spacing w:after="160" w:line="259" w:lineRule="auto"/>
        <w:ind w:left="0" w:firstLine="0"/>
        <w:rPr>
          <w:rFonts w:cs="Times New Roman"/>
          <w:b/>
          <w:bCs/>
          <w:szCs w:val="24"/>
        </w:rPr>
      </w:pPr>
      <w:r>
        <w:rPr>
          <w:b/>
          <w:bCs/>
          <w:szCs w:val="24"/>
        </w:rPr>
        <w:br w:type="page"/>
      </w:r>
    </w:p>
    <w:p w14:paraId="7DD36CA8" w14:textId="13895FCE" w:rsidR="001E5577" w:rsidRDefault="001E5577" w:rsidP="00AD1943">
      <w:pPr>
        <w:pStyle w:val="EndNoteBibliography"/>
        <w:spacing w:after="0"/>
        <w:ind w:left="90" w:firstLine="900"/>
        <w:rPr>
          <w:b/>
          <w:bCs/>
          <w:noProof w:val="0"/>
          <w:szCs w:val="24"/>
        </w:rPr>
      </w:pPr>
      <w:r>
        <w:rPr>
          <w:b/>
          <w:bCs/>
          <w:noProof w:val="0"/>
          <w:szCs w:val="24"/>
        </w:rPr>
        <w:lastRenderedPageBreak/>
        <w:t>R</w:t>
      </w:r>
      <w:r w:rsidRPr="001E5577">
        <w:rPr>
          <w:b/>
          <w:bCs/>
          <w:noProof w:val="0"/>
          <w:szCs w:val="24"/>
        </w:rPr>
        <w:t>eference</w:t>
      </w:r>
    </w:p>
    <w:p w14:paraId="59355AF9" w14:textId="77777777" w:rsidR="00C73D1A" w:rsidRDefault="00C73D1A" w:rsidP="00AD1943">
      <w:pPr>
        <w:pStyle w:val="EndNoteBibliography"/>
        <w:spacing w:after="0"/>
        <w:ind w:left="90" w:firstLine="900"/>
        <w:rPr>
          <w:b/>
          <w:bCs/>
          <w:noProof w:val="0"/>
          <w:szCs w:val="24"/>
        </w:rPr>
      </w:pPr>
    </w:p>
    <w:p w14:paraId="1FF206AE" w14:textId="1F363672" w:rsidR="001E5577" w:rsidRPr="008216B0" w:rsidRDefault="001E5577" w:rsidP="00AD1943">
      <w:pPr>
        <w:pStyle w:val="EndNoteBibliography"/>
        <w:spacing w:after="0"/>
        <w:ind w:left="90" w:firstLine="0"/>
      </w:pPr>
      <w:r>
        <w:rPr>
          <w:szCs w:val="24"/>
        </w:rPr>
        <w:fldChar w:fldCharType="begin"/>
      </w:r>
      <w:r>
        <w:rPr>
          <w:szCs w:val="24"/>
        </w:rPr>
        <w:instrText xml:space="preserve"> ADDIN EN.REFLIST </w:instrText>
      </w:r>
      <w:r>
        <w:rPr>
          <w:szCs w:val="24"/>
        </w:rPr>
        <w:fldChar w:fldCharType="separate"/>
      </w:r>
      <w:r w:rsidRPr="008216B0">
        <w:t>1.</w:t>
      </w:r>
      <w:r w:rsidRPr="008216B0">
        <w:tab/>
        <w:t>Wang L, Lu B, He M, Wang Y, Wang Z, Du L. Prostate cancer incidence and mortality: global status and temporal trends in 89 countries from 2000 to 2019. Frontiers in public health. 2022;10:811044.</w:t>
      </w:r>
    </w:p>
    <w:p w14:paraId="22F6F3F1" w14:textId="77777777" w:rsidR="001E5577" w:rsidRPr="008216B0" w:rsidRDefault="001E5577" w:rsidP="001E5577">
      <w:pPr>
        <w:pStyle w:val="EndNoteBibliography"/>
        <w:spacing w:after="0"/>
        <w:ind w:left="0" w:firstLine="0"/>
      </w:pPr>
      <w:r w:rsidRPr="008216B0">
        <w:t>2.</w:t>
      </w:r>
      <w:r w:rsidRPr="008216B0">
        <w:tab/>
        <w:t>Shore N, Abrahamsson P-A, Anderson J, Crawford E, Lange P. New considerations for ADT in advanced prostate cancer and the emerging role of GnRH antagonists. Prostate cancer and prostatic diseases. 2013;16(1):7-15.</w:t>
      </w:r>
    </w:p>
    <w:p w14:paraId="76F916E6" w14:textId="77777777" w:rsidR="001E5577" w:rsidRPr="008216B0" w:rsidRDefault="001E5577" w:rsidP="001E5577">
      <w:pPr>
        <w:pStyle w:val="EndNoteBibliography"/>
        <w:spacing w:after="0"/>
        <w:ind w:left="0" w:firstLine="0"/>
      </w:pPr>
      <w:r w:rsidRPr="008216B0">
        <w:t>3.</w:t>
      </w:r>
      <w:r w:rsidRPr="008216B0">
        <w:tab/>
        <w:t>Schröder F, Crawford E, Axcrona K, Payne H, Keane T. Androgen deprivation therapy: past, present and future. BJU international. 2012;109:1-12.</w:t>
      </w:r>
    </w:p>
    <w:p w14:paraId="4CF07827" w14:textId="77777777" w:rsidR="001E5577" w:rsidRPr="008216B0" w:rsidRDefault="001E5577" w:rsidP="001E5577">
      <w:pPr>
        <w:pStyle w:val="EndNoteBibliography"/>
        <w:spacing w:after="0"/>
        <w:ind w:left="0" w:firstLine="0"/>
      </w:pPr>
      <w:r w:rsidRPr="008216B0">
        <w:t>4.</w:t>
      </w:r>
      <w:r w:rsidRPr="008216B0">
        <w:tab/>
        <w:t>Van Poppel H, Nilsson S. Testosterone surge: rationale for gonadotropin-releasing hormone blockers? Urology. 2008;71(6):1001-6.</w:t>
      </w:r>
    </w:p>
    <w:p w14:paraId="403E6116" w14:textId="77777777" w:rsidR="001E5577" w:rsidRPr="008216B0" w:rsidRDefault="001E5577" w:rsidP="001E5577">
      <w:pPr>
        <w:pStyle w:val="EndNoteBibliography"/>
        <w:spacing w:after="0"/>
        <w:ind w:left="0" w:firstLine="0"/>
      </w:pPr>
      <w:r w:rsidRPr="008216B0">
        <w:t>5.</w:t>
      </w:r>
      <w:r w:rsidRPr="008216B0">
        <w:tab/>
        <w:t>Herrmann J. Vascular toxic effects of cancer therapies. Nature Reviews Cardiology. 2020;17(8):503-22.</w:t>
      </w:r>
    </w:p>
    <w:p w14:paraId="341F5891" w14:textId="77777777" w:rsidR="001E5577" w:rsidRPr="008216B0" w:rsidRDefault="001E5577" w:rsidP="001E5577">
      <w:pPr>
        <w:pStyle w:val="EndNoteBibliography"/>
        <w:spacing w:after="0"/>
        <w:ind w:left="0" w:firstLine="0"/>
      </w:pPr>
      <w:r w:rsidRPr="008216B0">
        <w:t>6.</w:t>
      </w:r>
      <w:r w:rsidRPr="008216B0">
        <w:tab/>
        <w:t>Levine GN, D'Amico AV, Berger P, Clark PE, Eckel RH, Keating NL, et al. Androgen-deprivation therapy in prostate cancer and cardiovascular risk: a science advisory from the American Heart Association, American Cancer Society, and American Urological Association: endorsed by the American Society for Radiation Oncology. Circulation. 2010;121(6):833-40.</w:t>
      </w:r>
    </w:p>
    <w:p w14:paraId="319588C5" w14:textId="77777777" w:rsidR="001E5577" w:rsidRPr="008216B0" w:rsidRDefault="001E5577" w:rsidP="001E5577">
      <w:pPr>
        <w:pStyle w:val="EndNoteBibliography"/>
        <w:spacing w:after="0"/>
        <w:ind w:left="0" w:firstLine="0"/>
      </w:pPr>
      <w:r w:rsidRPr="008216B0">
        <w:t>7.</w:t>
      </w:r>
      <w:r w:rsidRPr="008216B0">
        <w:tab/>
        <w:t>Kintzel PE, Chase SL, Schultz LM, O'Rourke TJ. Increased risk of metabolic syndrome, diabetes mellitus, and cardiovascular disease in men receiving androgen deprivation therapy for prostate cancer. Pharmacotherapy: The Journal of Human Pharmacology and Drug Therapy. 2008;28(12):1511-22.</w:t>
      </w:r>
    </w:p>
    <w:p w14:paraId="50ACBC17" w14:textId="77777777" w:rsidR="001E5577" w:rsidRPr="008216B0" w:rsidRDefault="001E5577" w:rsidP="001E5577">
      <w:pPr>
        <w:pStyle w:val="EndNoteBibliography"/>
        <w:spacing w:after="0"/>
        <w:ind w:left="0" w:firstLine="0"/>
      </w:pPr>
      <w:r w:rsidRPr="008216B0">
        <w:t>8.</w:t>
      </w:r>
      <w:r w:rsidRPr="008216B0">
        <w:tab/>
        <w:t>Freedland SJ, Abrahamsson P-A. Androgen deprivation therapy and side effects: are GnRH antagonists safer? Asian Journal of Andrology. 2021;23(1):3-10.</w:t>
      </w:r>
    </w:p>
    <w:p w14:paraId="0DB8A5FC" w14:textId="77777777" w:rsidR="001E5577" w:rsidRPr="008216B0" w:rsidRDefault="001E5577" w:rsidP="001E5577">
      <w:pPr>
        <w:pStyle w:val="EndNoteBibliography"/>
        <w:spacing w:after="0"/>
        <w:ind w:left="0" w:firstLine="0"/>
      </w:pPr>
      <w:r w:rsidRPr="008216B0">
        <w:t>9.</w:t>
      </w:r>
      <w:r w:rsidRPr="008216B0">
        <w:tab/>
        <w:t>Smith MR, Klotz L, van der Meulen E, Colli E, Tankó LB. Gonadotropin-releasing hormone blockers and cardiovascular disease risk: analysis of prospective clinical trials of degarelix. The Journal of urology. 2011;186(5):1835-42.</w:t>
      </w:r>
    </w:p>
    <w:p w14:paraId="7FC47009" w14:textId="77777777" w:rsidR="001E5577" w:rsidRPr="008216B0" w:rsidRDefault="001E5577" w:rsidP="001E5577">
      <w:pPr>
        <w:pStyle w:val="EndNoteBibliography"/>
        <w:spacing w:after="0"/>
        <w:ind w:left="0" w:firstLine="0"/>
      </w:pPr>
      <w:r w:rsidRPr="008216B0">
        <w:t>10.</w:t>
      </w:r>
      <w:r w:rsidRPr="008216B0">
        <w:tab/>
        <w:t>Garrison Jr LP, Neumann PJ, Erickson P, Marshall D, Mullins CD. Using real‐world data for coverage and payment decisions: the ISPOR real‐world data task force report. Value in health. 2007;10(5):326-35.</w:t>
      </w:r>
    </w:p>
    <w:p w14:paraId="2E0B1204" w14:textId="77777777" w:rsidR="001E5577" w:rsidRPr="008216B0" w:rsidRDefault="001E5577" w:rsidP="001E5577">
      <w:pPr>
        <w:pStyle w:val="EndNoteBibliography"/>
        <w:spacing w:after="0"/>
        <w:ind w:left="0" w:firstLine="0"/>
      </w:pPr>
      <w:r w:rsidRPr="008216B0">
        <w:t>11.</w:t>
      </w:r>
      <w:r w:rsidRPr="008216B0">
        <w:tab/>
        <w:t>Nallamothu BK, Hayward RA, Bates ER. Beyond the randomized clinical trial: the role of effectiveness studies in evaluating cardiovascular therapies. Circulation. 2008;118(12):1294-303.</w:t>
      </w:r>
    </w:p>
    <w:p w14:paraId="79BEE9F5" w14:textId="77777777" w:rsidR="001E5577" w:rsidRPr="008216B0" w:rsidRDefault="001E5577" w:rsidP="001E5577">
      <w:pPr>
        <w:pStyle w:val="EndNoteBibliography"/>
        <w:spacing w:after="0"/>
        <w:ind w:left="0" w:firstLine="0"/>
      </w:pPr>
      <w:r w:rsidRPr="008216B0">
        <w:t>12.</w:t>
      </w:r>
      <w:r w:rsidRPr="008216B0">
        <w:tab/>
        <w:t>Kokkotou E, Anagnostakis M, Evangelou G, Syrigos NK, Gkiozos I. Real-world data and evidence in lung cancer: A review of recent developments. Cancers. 2024;16(7):1414.</w:t>
      </w:r>
    </w:p>
    <w:p w14:paraId="2C225949" w14:textId="77777777" w:rsidR="001E5577" w:rsidRPr="008216B0" w:rsidRDefault="001E5577" w:rsidP="001E5577">
      <w:pPr>
        <w:pStyle w:val="EndNoteBibliography"/>
        <w:spacing w:after="0"/>
        <w:ind w:left="0" w:firstLine="0"/>
      </w:pPr>
      <w:r w:rsidRPr="008216B0">
        <w:t>13.</w:t>
      </w:r>
      <w:r w:rsidRPr="008216B0">
        <w:tab/>
        <w:t>Sterne JA, Egger M, Smith GD. Investigating and dealing with publication and other biases in meta-analysis. Bmj. 2001;323(7304):101-5.</w:t>
      </w:r>
    </w:p>
    <w:p w14:paraId="3CC813F8" w14:textId="77777777" w:rsidR="001E5577" w:rsidRPr="008216B0" w:rsidRDefault="001E5577" w:rsidP="001E5577">
      <w:pPr>
        <w:pStyle w:val="EndNoteBibliography"/>
        <w:spacing w:after="0"/>
        <w:ind w:left="0" w:firstLine="0"/>
      </w:pPr>
      <w:r w:rsidRPr="008216B0">
        <w:t>14.</w:t>
      </w:r>
      <w:r w:rsidRPr="008216B0">
        <w:tab/>
        <w:t>Page MJ, Sterne JA, Higgins JP, Egger M. Investigating and dealing with publication bias and other reporting biases in meta‐analyses of health research: A review. Research synthesis methods. 2021;12(2):248-59.</w:t>
      </w:r>
    </w:p>
    <w:p w14:paraId="62B2F1C0" w14:textId="77777777" w:rsidR="001E5577" w:rsidRPr="008216B0" w:rsidRDefault="001E5577" w:rsidP="001E5577">
      <w:pPr>
        <w:pStyle w:val="EndNoteBibliography"/>
        <w:spacing w:after="0"/>
        <w:ind w:left="0" w:firstLine="0"/>
      </w:pPr>
      <w:r w:rsidRPr="008216B0">
        <w:t>15.</w:t>
      </w:r>
      <w:r w:rsidRPr="008216B0">
        <w:tab/>
        <w:t>Hartling L, Milne A, Hamm MP, Vandermeer B, Ansari M, Tsertsvadze A, Dryden DM. Testing the Newcastle Ottawa Scale showed low reliability between individual reviewers. Journal of clinical epidemiology. 2013;66(9):982-93.</w:t>
      </w:r>
    </w:p>
    <w:p w14:paraId="05F138BB" w14:textId="77777777" w:rsidR="001E5577" w:rsidRPr="008216B0" w:rsidRDefault="001E5577" w:rsidP="001E5577">
      <w:pPr>
        <w:pStyle w:val="EndNoteBibliography"/>
        <w:spacing w:after="0"/>
        <w:ind w:left="0" w:firstLine="0"/>
      </w:pPr>
      <w:r w:rsidRPr="008216B0">
        <w:t>16.</w:t>
      </w:r>
      <w:r w:rsidRPr="008216B0">
        <w:tab/>
        <w:t>Patel S, Zhu K, Dave CV, Ghajar M, Zhang Y, Saraiya B, et al. Comparative cardiovascular safety of gonadotropin-releasing hormone antagonists and agonists among patients diagnosed with prostate cancer: a systematic review and meta-analysis of real-world evidence studies. European Urology Oncology. 2024.</w:t>
      </w:r>
    </w:p>
    <w:p w14:paraId="121A1994" w14:textId="77777777" w:rsidR="001E5577" w:rsidRPr="008216B0" w:rsidRDefault="001E5577" w:rsidP="001E5577">
      <w:pPr>
        <w:pStyle w:val="EndNoteBibliography"/>
        <w:spacing w:after="0"/>
        <w:ind w:left="0" w:firstLine="0"/>
      </w:pPr>
      <w:r w:rsidRPr="008216B0">
        <w:lastRenderedPageBreak/>
        <w:t>17.</w:t>
      </w:r>
      <w:r w:rsidRPr="008216B0">
        <w:tab/>
        <w:t>Bodri D, Sunkara SK, Coomarasamy A. Gonadotropin-releasing hormone agonists versus antagonists for controlled ovarian hyperstimulation in oocyte donors: a systematic review and meta-analysis. Fertility and sterility. 2011;95(1):164-9.</w:t>
      </w:r>
    </w:p>
    <w:p w14:paraId="0E540CB9" w14:textId="77777777" w:rsidR="001E5577" w:rsidRPr="008216B0" w:rsidRDefault="001E5577" w:rsidP="001E5577">
      <w:pPr>
        <w:pStyle w:val="EndNoteBibliography"/>
        <w:spacing w:after="0"/>
        <w:ind w:left="0" w:firstLine="0"/>
      </w:pPr>
      <w:r w:rsidRPr="008216B0">
        <w:t>18.</w:t>
      </w:r>
      <w:r w:rsidRPr="008216B0">
        <w:tab/>
        <w:t>Xiao J, Chang S, Chen S. The effectiveness of gonadotropin-releasing hormone antagonist in poor ovarian responders undergoing in vitro fertilization: a systematic review and meta-analysis. Fertility and sterility. 2013;100(6):1594-601. e9.</w:t>
      </w:r>
    </w:p>
    <w:p w14:paraId="4978D366" w14:textId="77777777" w:rsidR="001E5577" w:rsidRPr="008216B0" w:rsidRDefault="001E5577" w:rsidP="001E5577">
      <w:pPr>
        <w:pStyle w:val="EndNoteBibliography"/>
        <w:spacing w:after="0"/>
        <w:ind w:left="0" w:firstLine="0"/>
      </w:pPr>
      <w:r w:rsidRPr="008216B0">
        <w:t>19.</w:t>
      </w:r>
      <w:r w:rsidRPr="008216B0">
        <w:tab/>
        <w:t>Sofiyeva N, Siepmann T, Barlinn K, Seli E, Ata B. Gonadotropin-releasing hormone analogs for gonadal protection during gonadotoxic chemotherapy: a systematic review and meta-analysis. Reproductive Sciences. 2019;26(7):939-53.</w:t>
      </w:r>
    </w:p>
    <w:p w14:paraId="3B52C0C1" w14:textId="77777777" w:rsidR="001E5577" w:rsidRPr="008216B0" w:rsidRDefault="001E5577" w:rsidP="001E5577">
      <w:pPr>
        <w:pStyle w:val="EndNoteBibliography"/>
        <w:spacing w:after="0"/>
        <w:ind w:left="0" w:firstLine="0"/>
      </w:pPr>
      <w:r w:rsidRPr="008216B0">
        <w:t>20.</w:t>
      </w:r>
      <w:r w:rsidRPr="008216B0">
        <w:tab/>
        <w:t>Xin L, Ma Y, Ye M, Chen L, Liu F, Hou Q. Efficacy and safety of oral gonadotropin-releasing hormone antagonists in moderate-to-severe endometriosis-associated pain: a systematic review and network meta-analysis. Archives of gynecology and obstetrics. 2023;308(4):1047-56.</w:t>
      </w:r>
    </w:p>
    <w:p w14:paraId="70B977A3" w14:textId="77777777" w:rsidR="001E5577" w:rsidRPr="008216B0" w:rsidRDefault="001E5577" w:rsidP="001E5577">
      <w:pPr>
        <w:pStyle w:val="EndNoteBibliography"/>
        <w:spacing w:after="0"/>
        <w:ind w:left="0" w:firstLine="0"/>
      </w:pPr>
      <w:r w:rsidRPr="008216B0">
        <w:t>21.</w:t>
      </w:r>
      <w:r w:rsidRPr="008216B0">
        <w:tab/>
        <w:t>Chen DY, Su PJ, See LC, Liu JR, Chuang CK, Pang ST, et al. Gonadotropin‐releasing hormone antagonist associated with lower cardiovascular risk compared with gonadotropin‐releasing hormone agonist in prostate cancer: A nationwide cohort and in vitro study. The Prostate. 2021;81(12):902-12.</w:t>
      </w:r>
    </w:p>
    <w:p w14:paraId="162FAC04" w14:textId="77777777" w:rsidR="001E5577" w:rsidRPr="008216B0" w:rsidRDefault="001E5577" w:rsidP="001E5577">
      <w:pPr>
        <w:pStyle w:val="EndNoteBibliography"/>
        <w:spacing w:after="0"/>
        <w:ind w:left="0" w:firstLine="0"/>
      </w:pPr>
      <w:r w:rsidRPr="008216B0">
        <w:t>22.</w:t>
      </w:r>
      <w:r w:rsidRPr="008216B0">
        <w:tab/>
        <w:t>Davey P, Kirby MG. Cardiovascular risk profiles of GnRH agonists and antagonists: real-world analysis from UK general practice. World Journal of Urology. 2021;39:307-15.</w:t>
      </w:r>
    </w:p>
    <w:p w14:paraId="3DE6DC69" w14:textId="77777777" w:rsidR="001E5577" w:rsidRPr="008216B0" w:rsidRDefault="001E5577" w:rsidP="001E5577">
      <w:pPr>
        <w:pStyle w:val="EndNoteBibliography"/>
        <w:spacing w:after="0"/>
        <w:ind w:left="0" w:firstLine="0"/>
      </w:pPr>
      <w:r w:rsidRPr="008216B0">
        <w:t>23.</w:t>
      </w:r>
      <w:r w:rsidRPr="008216B0">
        <w:tab/>
        <w:t>Dragomir A, Touma N, Hu J, Perreault S, Aprikian AG. Androgen deprivation therapy and risk of cardiovascular disease in patients with prostate cancer based on existence of cardiovascular risk. Journal of the National Comprehensive Cancer Network. 2023;21(2):163-71.</w:t>
      </w:r>
    </w:p>
    <w:p w14:paraId="5CA28282" w14:textId="77777777" w:rsidR="001E5577" w:rsidRPr="008216B0" w:rsidRDefault="001E5577" w:rsidP="001E5577">
      <w:pPr>
        <w:pStyle w:val="EndNoteBibliography"/>
        <w:spacing w:after="0"/>
        <w:ind w:left="0" w:firstLine="0"/>
      </w:pPr>
      <w:r w:rsidRPr="008216B0">
        <w:t>24.</w:t>
      </w:r>
      <w:r w:rsidRPr="008216B0">
        <w:tab/>
        <w:t>Merola D, Schneeweiss S, Sreedhara SK, Zabotka LE, Quinto K, Concato J, Wang SV. Real-world evidence prediction of a phase IV oncology trial: comparative degarelix vs leuprolide safety. JNCI Cancer Spectrum. 2022;6(4):pkac049.</w:t>
      </w:r>
    </w:p>
    <w:p w14:paraId="61759150" w14:textId="77777777" w:rsidR="001E5577" w:rsidRPr="008216B0" w:rsidRDefault="001E5577" w:rsidP="001E5577">
      <w:pPr>
        <w:pStyle w:val="EndNoteBibliography"/>
        <w:spacing w:after="0"/>
        <w:ind w:left="0" w:firstLine="0"/>
      </w:pPr>
      <w:r w:rsidRPr="008216B0">
        <w:t>25.</w:t>
      </w:r>
      <w:r w:rsidRPr="008216B0">
        <w:tab/>
        <w:t>Perrone V, Degli Esposti L, Giacomini E, Veronesi C, Blini V, Oderda M. Cardiovascular risk profile in prostate cancer patients treated with GnRH agonists versus antagonists: an Italian real-world analysis. Therapeutics and clinical risk management. 2020:393-401.</w:t>
      </w:r>
    </w:p>
    <w:p w14:paraId="76548CF7" w14:textId="77777777" w:rsidR="001E5577" w:rsidRPr="008216B0" w:rsidRDefault="001E5577" w:rsidP="001E5577">
      <w:pPr>
        <w:pStyle w:val="EndNoteBibliography"/>
        <w:spacing w:after="0"/>
        <w:ind w:left="0" w:firstLine="0"/>
      </w:pPr>
      <w:r w:rsidRPr="008216B0">
        <w:t>26.</w:t>
      </w:r>
      <w:r w:rsidRPr="008216B0">
        <w:tab/>
        <w:t>Scailteux L-M, Vincendeau S, Balusson F, Leclercq C, Happe A, Le Nautout B, et al. Androgen deprivation therapy and cardiovascular risk: No meaningful difference between GnRH antagonist and agonists—a nationwide population-based cohort study based on 2010–2013 French Health Insurance data. European journal of cancer. 2017;77:99-108.</w:t>
      </w:r>
    </w:p>
    <w:p w14:paraId="24B0D6F2" w14:textId="77777777" w:rsidR="001E5577" w:rsidRPr="008216B0" w:rsidRDefault="001E5577" w:rsidP="001E5577">
      <w:pPr>
        <w:pStyle w:val="EndNoteBibliography"/>
        <w:spacing w:after="0"/>
        <w:ind w:left="0" w:firstLine="0"/>
      </w:pPr>
      <w:r w:rsidRPr="008216B0">
        <w:t>27.</w:t>
      </w:r>
      <w:r w:rsidRPr="008216B0">
        <w:tab/>
        <w:t>Shao Y-HJ, Hong J-H, Chen C-K, Huang C-Y. Cardiovascular risk of gonadotropin-releasing hormone antagonist versus agonist in men with prostate cancer: an observational study in Taiwan. Prostate Cancer and Prostatic Diseases. 2023;26(4):722-9.</w:t>
      </w:r>
    </w:p>
    <w:p w14:paraId="2F32B517" w14:textId="77777777" w:rsidR="001E5577" w:rsidRPr="008216B0" w:rsidRDefault="001E5577" w:rsidP="001E5577">
      <w:pPr>
        <w:pStyle w:val="EndNoteBibliography"/>
        <w:ind w:left="0" w:firstLine="0"/>
      </w:pPr>
      <w:r w:rsidRPr="008216B0">
        <w:t>28.</w:t>
      </w:r>
      <w:r w:rsidRPr="008216B0">
        <w:tab/>
        <w:t>Wallach JD, Deng Y, McCoy RG, Dhruva SS, Herrin J, Berkowitz A, et al. Real-world cardiovascular outcomes associated with degarelix vs leuprolide for prostate cancer treatment. JAMA network open. 2021;4(10):e2130587-e.</w:t>
      </w:r>
    </w:p>
    <w:p w14:paraId="6A56D338" w14:textId="475A0F84" w:rsidR="001E5577" w:rsidRDefault="001E5577" w:rsidP="001E5577">
      <w:pPr>
        <w:jc w:val="both"/>
        <w:rPr>
          <w:rFonts w:cs="Times New Roman"/>
          <w:szCs w:val="24"/>
        </w:rPr>
      </w:pPr>
      <w:r>
        <w:rPr>
          <w:rFonts w:cs="Times New Roman"/>
          <w:szCs w:val="24"/>
        </w:rPr>
        <w:fldChar w:fldCharType="end"/>
      </w:r>
    </w:p>
    <w:p w14:paraId="718C74F0" w14:textId="77777777" w:rsidR="00C7493B" w:rsidRDefault="00C7493B">
      <w:pPr>
        <w:spacing w:after="160" w:line="259" w:lineRule="auto"/>
        <w:ind w:left="0" w:firstLine="0"/>
        <w:rPr>
          <w:rFonts w:cs="Times New Roman"/>
          <w:szCs w:val="24"/>
        </w:rPr>
      </w:pPr>
      <w:r>
        <w:rPr>
          <w:rFonts w:cs="Times New Roman"/>
          <w:szCs w:val="24"/>
        </w:rPr>
        <w:br w:type="page"/>
      </w:r>
    </w:p>
    <w:p w14:paraId="22755FF1" w14:textId="77777777" w:rsidR="00C7493B" w:rsidRPr="006257D2" w:rsidRDefault="00C7493B" w:rsidP="00C7493B">
      <w:pPr>
        <w:ind w:left="0" w:firstLine="0"/>
        <w:jc w:val="both"/>
        <w:rPr>
          <w:rFonts w:cs="Times New Roman"/>
          <w:b/>
          <w:bCs/>
          <w:szCs w:val="24"/>
          <w:u w:val="single"/>
        </w:rPr>
      </w:pPr>
      <w:r w:rsidRPr="006257D2">
        <w:rPr>
          <w:rFonts w:cs="Times New Roman"/>
          <w:b/>
          <w:bCs/>
          <w:szCs w:val="24"/>
          <w:u w:val="single"/>
        </w:rPr>
        <w:lastRenderedPageBreak/>
        <w:t>Table and Figure legends</w:t>
      </w:r>
    </w:p>
    <w:p w14:paraId="3B475019" w14:textId="17252826" w:rsidR="003C2D43" w:rsidRDefault="003C2D43" w:rsidP="00C7493B">
      <w:pPr>
        <w:ind w:left="0" w:firstLine="0"/>
        <w:jc w:val="both"/>
        <w:rPr>
          <w:rFonts w:cs="Times New Roman"/>
          <w:szCs w:val="24"/>
        </w:rPr>
      </w:pPr>
      <w:r w:rsidRPr="006257D2">
        <w:rPr>
          <w:rFonts w:cs="Times New Roman"/>
          <w:b/>
          <w:bCs/>
          <w:szCs w:val="24"/>
        </w:rPr>
        <w:t>Table 1.</w:t>
      </w:r>
      <w:r w:rsidRPr="006257D2">
        <w:rPr>
          <w:rFonts w:cs="Times New Roman"/>
          <w:b/>
          <w:bCs/>
          <w:szCs w:val="24"/>
          <w:u w:val="single"/>
        </w:rPr>
        <w:t xml:space="preserve"> </w:t>
      </w:r>
      <w:r w:rsidRPr="006257D2">
        <w:rPr>
          <w:rFonts w:cs="Times New Roman"/>
          <w:szCs w:val="24"/>
        </w:rPr>
        <w:t>Demographic and Clinical Characteristics of the Study Cohort</w:t>
      </w:r>
    </w:p>
    <w:p w14:paraId="2B4C3A41" w14:textId="77777777" w:rsidR="006257D2" w:rsidRPr="006257D2" w:rsidRDefault="006257D2" w:rsidP="00C7493B">
      <w:pPr>
        <w:ind w:left="0" w:firstLine="0"/>
        <w:jc w:val="both"/>
        <w:rPr>
          <w:rFonts w:cs="Times New Roman"/>
          <w:szCs w:val="24"/>
        </w:rPr>
      </w:pPr>
    </w:p>
    <w:p w14:paraId="2252D57F" w14:textId="77777777" w:rsidR="003C2D43" w:rsidRDefault="003C2D43" w:rsidP="003C2D43">
      <w:pPr>
        <w:ind w:left="0" w:firstLine="0"/>
        <w:jc w:val="both"/>
        <w:rPr>
          <w:rFonts w:eastAsia="Times New Roman" w:cs="Times New Roman"/>
          <w:bCs/>
          <w:szCs w:val="24"/>
          <w:lang w:eastAsia="en-IN"/>
        </w:rPr>
      </w:pPr>
      <w:r w:rsidRPr="006257D2">
        <w:rPr>
          <w:rFonts w:eastAsia="Times New Roman" w:cs="Times New Roman"/>
          <w:b/>
          <w:szCs w:val="24"/>
          <w:lang w:eastAsia="en-IN"/>
        </w:rPr>
        <w:t>Figure 1.</w:t>
      </w:r>
      <w:r w:rsidRPr="006257D2">
        <w:rPr>
          <w:rFonts w:eastAsia="Times New Roman" w:cs="Times New Roman"/>
          <w:bCs/>
          <w:szCs w:val="24"/>
          <w:lang w:eastAsia="en-IN"/>
        </w:rPr>
        <w:t xml:space="preserve"> PRISMA Flowchart of Study Inclusion and Exclusion in the Systematic Review</w:t>
      </w:r>
    </w:p>
    <w:p w14:paraId="5360D2C0" w14:textId="77777777" w:rsidR="006257D2" w:rsidRPr="006257D2" w:rsidRDefault="006257D2" w:rsidP="003C2D43">
      <w:pPr>
        <w:ind w:left="0" w:firstLine="0"/>
        <w:jc w:val="both"/>
        <w:rPr>
          <w:rFonts w:eastAsia="Times New Roman" w:cs="Times New Roman"/>
          <w:bCs/>
          <w:szCs w:val="24"/>
          <w:lang w:eastAsia="en-IN"/>
        </w:rPr>
      </w:pPr>
    </w:p>
    <w:p w14:paraId="5ED52EBE" w14:textId="77777777" w:rsidR="003C2D43" w:rsidRDefault="003C2D43" w:rsidP="003C2D43">
      <w:pPr>
        <w:ind w:left="0" w:firstLine="0"/>
        <w:jc w:val="both"/>
        <w:rPr>
          <w:rFonts w:eastAsia="Times New Roman" w:cs="Times New Roman"/>
          <w:bCs/>
          <w:szCs w:val="24"/>
          <w:lang w:eastAsia="en-IN"/>
        </w:rPr>
      </w:pPr>
      <w:r w:rsidRPr="006257D2">
        <w:rPr>
          <w:rFonts w:eastAsia="Times New Roman" w:cs="Times New Roman"/>
          <w:b/>
          <w:szCs w:val="24"/>
          <w:lang w:eastAsia="en-IN"/>
        </w:rPr>
        <w:t>Figure 2.</w:t>
      </w:r>
      <w:r w:rsidRPr="006257D2">
        <w:rPr>
          <w:rFonts w:eastAsia="Times New Roman" w:cs="Times New Roman"/>
          <w:bCs/>
          <w:szCs w:val="24"/>
          <w:lang w:eastAsia="en-IN"/>
        </w:rPr>
        <w:t xml:space="preserve"> Schematic Representation of Network Meta-Analysis (NMA) Treatment Comparisons</w:t>
      </w:r>
    </w:p>
    <w:p w14:paraId="4791D007" w14:textId="77777777" w:rsidR="006257D2" w:rsidRPr="006257D2" w:rsidRDefault="006257D2" w:rsidP="003C2D43">
      <w:pPr>
        <w:ind w:left="0" w:firstLine="0"/>
        <w:jc w:val="both"/>
        <w:rPr>
          <w:rFonts w:eastAsia="Times New Roman" w:cs="Times New Roman"/>
          <w:bCs/>
          <w:szCs w:val="24"/>
          <w:lang w:eastAsia="en-IN"/>
        </w:rPr>
      </w:pPr>
    </w:p>
    <w:p w14:paraId="05F3EF50" w14:textId="77777777" w:rsidR="006257D2" w:rsidRDefault="003C2D43" w:rsidP="003C2D43">
      <w:pPr>
        <w:ind w:left="0" w:firstLine="0"/>
        <w:jc w:val="both"/>
        <w:rPr>
          <w:rFonts w:eastAsia="Times New Roman" w:cs="Times New Roman"/>
          <w:bCs/>
          <w:szCs w:val="24"/>
          <w:lang w:eastAsia="en-IN"/>
        </w:rPr>
      </w:pPr>
      <w:r w:rsidRPr="006257D2">
        <w:rPr>
          <w:rFonts w:eastAsia="Times New Roman" w:cs="Times New Roman"/>
          <w:b/>
          <w:szCs w:val="24"/>
          <w:lang w:eastAsia="en-IN"/>
        </w:rPr>
        <w:t>Figure 3.</w:t>
      </w:r>
      <w:r w:rsidRPr="006257D2">
        <w:rPr>
          <w:rFonts w:eastAsia="Times New Roman" w:cs="Times New Roman"/>
          <w:bCs/>
          <w:szCs w:val="24"/>
          <w:lang w:eastAsia="en-IN"/>
        </w:rPr>
        <w:t xml:space="preserve"> Forest Plot Comparing Cardiovascular Risk Outcomes of GnRH Agonists vs. Antagonists </w:t>
      </w:r>
    </w:p>
    <w:p w14:paraId="336F2569" w14:textId="3FE66D17" w:rsidR="003C2D43" w:rsidRDefault="003C2D43" w:rsidP="003C2D43">
      <w:pPr>
        <w:ind w:left="0" w:firstLine="0"/>
        <w:jc w:val="both"/>
        <w:rPr>
          <w:rFonts w:eastAsia="Times New Roman" w:cs="Times New Roman"/>
          <w:bCs/>
          <w:szCs w:val="24"/>
          <w:lang w:eastAsia="en-IN"/>
        </w:rPr>
      </w:pPr>
      <w:r w:rsidRPr="006257D2">
        <w:rPr>
          <w:rFonts w:eastAsia="Times New Roman" w:cs="Times New Roman"/>
          <w:bCs/>
          <w:szCs w:val="24"/>
          <w:lang w:eastAsia="en-IN"/>
        </w:rPr>
        <w:t>in Prostate Cancer Patients</w:t>
      </w:r>
    </w:p>
    <w:p w14:paraId="33F9425F" w14:textId="77777777" w:rsidR="006257D2" w:rsidRPr="006257D2" w:rsidRDefault="006257D2" w:rsidP="003C2D43">
      <w:pPr>
        <w:ind w:left="0" w:firstLine="0"/>
        <w:jc w:val="both"/>
        <w:rPr>
          <w:rFonts w:eastAsia="Times New Roman" w:cs="Times New Roman"/>
          <w:bCs/>
          <w:szCs w:val="24"/>
          <w:lang w:eastAsia="en-IN"/>
        </w:rPr>
      </w:pPr>
    </w:p>
    <w:p w14:paraId="49FB06AF" w14:textId="77777777" w:rsidR="003C2D43" w:rsidRDefault="003C2D43" w:rsidP="003C2D43">
      <w:pPr>
        <w:ind w:left="0" w:firstLine="0"/>
        <w:jc w:val="both"/>
        <w:rPr>
          <w:rFonts w:eastAsia="Times New Roman" w:cs="Times New Roman"/>
          <w:bCs/>
          <w:szCs w:val="24"/>
          <w:lang w:eastAsia="en-IN"/>
        </w:rPr>
      </w:pPr>
      <w:r w:rsidRPr="006257D2">
        <w:rPr>
          <w:rFonts w:eastAsia="Times New Roman" w:cs="Times New Roman"/>
          <w:b/>
          <w:szCs w:val="24"/>
          <w:lang w:eastAsia="en-IN"/>
        </w:rPr>
        <w:t>Figure 4.</w:t>
      </w:r>
      <w:r w:rsidRPr="006257D2">
        <w:rPr>
          <w:rFonts w:eastAsia="Times New Roman" w:cs="Times New Roman"/>
          <w:bCs/>
          <w:szCs w:val="24"/>
          <w:lang w:eastAsia="en-IN"/>
        </w:rPr>
        <w:t xml:space="preserve"> Node-Split Analysis Forest Plot Evaluating Consistency in Network Meta-Analysis Results</w:t>
      </w:r>
    </w:p>
    <w:p w14:paraId="0BBB1D56" w14:textId="77777777" w:rsidR="006257D2" w:rsidRPr="006257D2" w:rsidRDefault="006257D2" w:rsidP="003C2D43">
      <w:pPr>
        <w:ind w:left="0" w:firstLine="0"/>
        <w:jc w:val="both"/>
        <w:rPr>
          <w:rFonts w:eastAsia="Times New Roman" w:cs="Times New Roman"/>
          <w:bCs/>
          <w:szCs w:val="24"/>
          <w:lang w:eastAsia="en-IN"/>
        </w:rPr>
      </w:pPr>
    </w:p>
    <w:p w14:paraId="239E4019" w14:textId="3E3C43BD" w:rsidR="003C2D43" w:rsidRPr="006257D2" w:rsidRDefault="003C2D43" w:rsidP="003C2D43">
      <w:pPr>
        <w:ind w:left="0" w:firstLine="0"/>
        <w:jc w:val="both"/>
        <w:rPr>
          <w:rFonts w:eastAsia="Times New Roman" w:cs="Times New Roman"/>
          <w:bCs/>
          <w:szCs w:val="24"/>
          <w:lang w:eastAsia="en-IN"/>
        </w:rPr>
      </w:pPr>
      <w:r w:rsidRPr="006257D2">
        <w:rPr>
          <w:rFonts w:eastAsia="Times New Roman" w:cs="Times New Roman"/>
          <w:b/>
          <w:szCs w:val="24"/>
          <w:lang w:eastAsia="en-IN"/>
        </w:rPr>
        <w:t>Figure 5.</w:t>
      </w:r>
      <w:r w:rsidRPr="006257D2">
        <w:rPr>
          <w:rFonts w:eastAsia="Times New Roman" w:cs="Times New Roman"/>
          <w:bCs/>
          <w:szCs w:val="24"/>
          <w:lang w:eastAsia="en-IN"/>
        </w:rPr>
        <w:t xml:space="preserve"> Funnel Plot Assessing Publication Bias Across Included Studies in the Meta-Analysis</w:t>
      </w:r>
    </w:p>
    <w:p w14:paraId="6A0BFDB5" w14:textId="77777777" w:rsidR="003C2D43" w:rsidRPr="006257D2" w:rsidRDefault="003C2D43" w:rsidP="003C2D43">
      <w:pPr>
        <w:ind w:left="0" w:firstLine="0"/>
        <w:jc w:val="both"/>
        <w:rPr>
          <w:rFonts w:eastAsia="Times New Roman" w:cs="Times New Roman"/>
          <w:bCs/>
          <w:szCs w:val="24"/>
          <w:lang w:eastAsia="en-IN"/>
        </w:rPr>
      </w:pPr>
    </w:p>
    <w:p w14:paraId="31F1258F" w14:textId="03B86B0A" w:rsidR="00C7493B" w:rsidRPr="006257D2" w:rsidRDefault="00C7493B" w:rsidP="003C2D43">
      <w:pPr>
        <w:spacing w:line="360" w:lineRule="auto"/>
        <w:ind w:left="0" w:right="119" w:firstLine="0"/>
        <w:rPr>
          <w:rFonts w:eastAsia="Times New Roman" w:cs="Times New Roman"/>
          <w:color w:val="auto"/>
          <w:szCs w:val="24"/>
          <w:lang w:eastAsia="en-IN"/>
        </w:rPr>
      </w:pPr>
      <w:r w:rsidRPr="006257D2">
        <w:rPr>
          <w:rFonts w:cs="Times New Roman"/>
          <w:b/>
          <w:szCs w:val="24"/>
        </w:rPr>
        <w:t>Supplementary files</w:t>
      </w:r>
    </w:p>
    <w:p w14:paraId="0B3AA336" w14:textId="77777777" w:rsidR="00C7493B" w:rsidRPr="006257D2" w:rsidRDefault="00C7493B" w:rsidP="00C7493B">
      <w:pPr>
        <w:pStyle w:val="NormalWeb"/>
        <w:spacing w:line="360" w:lineRule="auto"/>
        <w:ind w:right="119"/>
        <w:jc w:val="both"/>
        <w:rPr>
          <w:bCs/>
          <w:lang w:eastAsia="en-GB"/>
        </w:rPr>
      </w:pPr>
      <w:bookmarkStart w:id="1" w:name="_Hlk193692248"/>
      <w:r w:rsidRPr="006257D2">
        <w:rPr>
          <w:b/>
          <w:bCs/>
          <w:lang w:eastAsia="en-GB"/>
        </w:rPr>
        <w:t>Figure S1</w:t>
      </w:r>
      <w:r w:rsidRPr="006257D2">
        <w:rPr>
          <w:bCs/>
          <w:lang w:eastAsia="en-GB"/>
        </w:rPr>
        <w:t xml:space="preserve">: Publication bias of urosepsis </w:t>
      </w:r>
    </w:p>
    <w:bookmarkEnd w:id="1"/>
    <w:p w14:paraId="6394144C" w14:textId="77777777" w:rsidR="00C7493B" w:rsidRPr="006257D2" w:rsidRDefault="00C7493B" w:rsidP="00C7493B">
      <w:pPr>
        <w:pStyle w:val="NormalWeb"/>
        <w:spacing w:line="360" w:lineRule="auto"/>
        <w:ind w:right="119"/>
        <w:jc w:val="both"/>
        <w:rPr>
          <w:b/>
          <w:bCs/>
        </w:rPr>
      </w:pPr>
      <w:r w:rsidRPr="006257D2">
        <w:rPr>
          <w:b/>
          <w:bCs/>
        </w:rPr>
        <w:t xml:space="preserve">Table S1. </w:t>
      </w:r>
      <w:r w:rsidRPr="006257D2">
        <w:rPr>
          <w:bCs/>
        </w:rPr>
        <w:t>PRISMA Checklist</w:t>
      </w:r>
      <w:r w:rsidRPr="006257D2">
        <w:rPr>
          <w:b/>
          <w:bCs/>
        </w:rPr>
        <w:t xml:space="preserve"> </w:t>
      </w:r>
    </w:p>
    <w:p w14:paraId="42DBA4F7" w14:textId="77777777" w:rsidR="00C7493B" w:rsidRPr="006257D2" w:rsidRDefault="00C7493B" w:rsidP="00C7493B">
      <w:pPr>
        <w:pStyle w:val="NormalWeb"/>
        <w:spacing w:line="360" w:lineRule="auto"/>
        <w:ind w:right="119"/>
        <w:jc w:val="both"/>
      </w:pPr>
      <w:r w:rsidRPr="006257D2">
        <w:rPr>
          <w:b/>
          <w:bCs/>
        </w:rPr>
        <w:t>Table S2.</w:t>
      </w:r>
      <w:r w:rsidRPr="006257D2">
        <w:t xml:space="preserve"> Inclusion and Exclusion Criteria</w:t>
      </w:r>
    </w:p>
    <w:p w14:paraId="7F546D25" w14:textId="58E735F7" w:rsidR="00C7493B" w:rsidRPr="003C2D43" w:rsidRDefault="00C7493B" w:rsidP="00C7493B">
      <w:pPr>
        <w:pStyle w:val="NormalWeb"/>
        <w:spacing w:line="360" w:lineRule="auto"/>
        <w:ind w:right="119"/>
        <w:jc w:val="both"/>
        <w:rPr>
          <w:bCs/>
          <w:sz w:val="28"/>
          <w:szCs w:val="28"/>
        </w:rPr>
      </w:pPr>
      <w:r w:rsidRPr="006257D2">
        <w:rPr>
          <w:b/>
          <w:bCs/>
        </w:rPr>
        <w:t xml:space="preserve">Table S3. </w:t>
      </w:r>
      <w:r w:rsidRPr="006257D2">
        <w:rPr>
          <w:bCs/>
        </w:rPr>
        <w:t xml:space="preserve">As per the searched electronic </w:t>
      </w:r>
      <w:r w:rsidRPr="003C2D43">
        <w:rPr>
          <w:bCs/>
          <w:sz w:val="28"/>
          <w:szCs w:val="28"/>
        </w:rPr>
        <w:t>databases</w:t>
      </w:r>
    </w:p>
    <w:p w14:paraId="64EC2757" w14:textId="77777777" w:rsidR="00C7493B" w:rsidRPr="003C2D43" w:rsidRDefault="00C7493B" w:rsidP="00C7493B">
      <w:pPr>
        <w:pStyle w:val="NormalWeb"/>
        <w:spacing w:line="360" w:lineRule="auto"/>
        <w:ind w:right="119"/>
        <w:jc w:val="both"/>
        <w:rPr>
          <w:b/>
          <w:bCs/>
          <w:sz w:val="28"/>
          <w:szCs w:val="28"/>
        </w:rPr>
      </w:pPr>
      <w:r w:rsidRPr="003C2D43">
        <w:rPr>
          <w:b/>
          <w:sz w:val="28"/>
          <w:szCs w:val="28"/>
        </w:rPr>
        <w:t>Table S4:</w:t>
      </w:r>
      <w:r w:rsidRPr="003C2D43">
        <w:rPr>
          <w:sz w:val="28"/>
          <w:szCs w:val="28"/>
        </w:rPr>
        <w:t xml:space="preserve"> Newcastle-Ottawa Scale </w:t>
      </w:r>
    </w:p>
    <w:p w14:paraId="6D176C72" w14:textId="346F073C" w:rsidR="00B23A9A" w:rsidRPr="00FA3237" w:rsidRDefault="00C7493B" w:rsidP="00FA3237">
      <w:pPr>
        <w:jc w:val="both"/>
        <w:rPr>
          <w:rFonts w:cs="Times New Roman"/>
          <w:szCs w:val="24"/>
        </w:rPr>
        <w:sectPr w:rsidR="00B23A9A" w:rsidRPr="00FA3237" w:rsidSect="00C73D1A">
          <w:pgSz w:w="12240" w:h="15840"/>
          <w:pgMar w:top="1440" w:right="1440" w:bottom="1440" w:left="630" w:header="720" w:footer="720" w:gutter="0"/>
          <w:cols w:space="720"/>
          <w:docGrid w:linePitch="360"/>
        </w:sectPr>
      </w:pPr>
      <w:r>
        <w:rPr>
          <w:rFonts w:cs="Times New Roman"/>
          <w:szCs w:val="24"/>
        </w:rPr>
        <w:br/>
      </w:r>
    </w:p>
    <w:p w14:paraId="0D92EF14" w14:textId="66C9A0A4" w:rsidR="003C2D43" w:rsidRPr="009E11FE" w:rsidRDefault="003C2D43" w:rsidP="003C2D43">
      <w:pPr>
        <w:ind w:left="0" w:firstLine="0"/>
        <w:jc w:val="both"/>
        <w:rPr>
          <w:rFonts w:cs="Times New Roman"/>
          <w:b/>
          <w:bCs/>
          <w:szCs w:val="24"/>
        </w:rPr>
      </w:pPr>
      <w:bookmarkStart w:id="2" w:name="_Hlk194422562"/>
      <w:r w:rsidRPr="009E11FE">
        <w:rPr>
          <w:rFonts w:cs="Times New Roman"/>
          <w:b/>
          <w:bCs/>
          <w:szCs w:val="24"/>
        </w:rPr>
        <w:lastRenderedPageBreak/>
        <w:t>Table 1</w:t>
      </w:r>
      <w:r w:rsidR="0093539F">
        <w:rPr>
          <w:rFonts w:cs="Times New Roman"/>
          <w:b/>
          <w:bCs/>
          <w:szCs w:val="24"/>
        </w:rPr>
        <w:t>:</w:t>
      </w:r>
      <w:r w:rsidRPr="009E11FE">
        <w:rPr>
          <w:rFonts w:cs="Times New Roman"/>
          <w:b/>
          <w:bCs/>
          <w:szCs w:val="24"/>
          <w:u w:val="single"/>
        </w:rPr>
        <w:t xml:space="preserve"> </w:t>
      </w:r>
      <w:r w:rsidRPr="009E11FE">
        <w:rPr>
          <w:rFonts w:cs="Times New Roman"/>
          <w:b/>
          <w:bCs/>
          <w:szCs w:val="24"/>
        </w:rPr>
        <w:t>Demographic and Clinical Characteristics of the Study Cohort</w:t>
      </w:r>
    </w:p>
    <w:tbl>
      <w:tblPr>
        <w:tblStyle w:val="TableGrid"/>
        <w:tblW w:w="14940" w:type="dxa"/>
        <w:tblInd w:w="85" w:type="dxa"/>
        <w:tblLayout w:type="fixed"/>
        <w:tblLook w:val="04A0" w:firstRow="1" w:lastRow="0" w:firstColumn="1" w:lastColumn="0" w:noHBand="0" w:noVBand="1"/>
      </w:tblPr>
      <w:tblGrid>
        <w:gridCol w:w="1616"/>
        <w:gridCol w:w="1942"/>
        <w:gridCol w:w="1349"/>
        <w:gridCol w:w="1050"/>
        <w:gridCol w:w="1553"/>
        <w:gridCol w:w="2120"/>
        <w:gridCol w:w="2070"/>
        <w:gridCol w:w="1620"/>
        <w:gridCol w:w="1620"/>
      </w:tblGrid>
      <w:tr w:rsidR="00D518A6" w14:paraId="50755201" w14:textId="7A9C974D" w:rsidTr="00C73D1A">
        <w:tc>
          <w:tcPr>
            <w:tcW w:w="1616" w:type="dxa"/>
            <w:vAlign w:val="bottom"/>
          </w:tcPr>
          <w:bookmarkEnd w:id="2"/>
          <w:p w14:paraId="26E219E6" w14:textId="370AA9D2" w:rsidR="00D518A6" w:rsidRDefault="00D518A6" w:rsidP="008A074C">
            <w:pPr>
              <w:ind w:left="0" w:firstLine="0"/>
              <w:rPr>
                <w:rFonts w:cs="Times New Roman"/>
                <w:szCs w:val="24"/>
              </w:rPr>
            </w:pPr>
            <w:r>
              <w:rPr>
                <w:rFonts w:ascii="Calibri" w:hAnsi="Calibri" w:cs="Calibri"/>
                <w:sz w:val="22"/>
              </w:rPr>
              <w:t>Study</w:t>
            </w:r>
          </w:p>
        </w:tc>
        <w:tc>
          <w:tcPr>
            <w:tcW w:w="1942" w:type="dxa"/>
          </w:tcPr>
          <w:p w14:paraId="4B08431A" w14:textId="649F2A5E" w:rsidR="00D518A6" w:rsidRDefault="00D518A6" w:rsidP="008A074C">
            <w:pPr>
              <w:ind w:left="0" w:firstLine="0"/>
              <w:rPr>
                <w:rFonts w:cs="Times New Roman"/>
                <w:szCs w:val="24"/>
              </w:rPr>
            </w:pPr>
            <w:r w:rsidRPr="00E7163F">
              <w:rPr>
                <w:rFonts w:cs="Times New Roman"/>
                <w:szCs w:val="24"/>
              </w:rPr>
              <w:t xml:space="preserve">Study design </w:t>
            </w:r>
          </w:p>
        </w:tc>
        <w:tc>
          <w:tcPr>
            <w:tcW w:w="1349" w:type="dxa"/>
          </w:tcPr>
          <w:p w14:paraId="17031F47" w14:textId="44CFE82E" w:rsidR="00D518A6" w:rsidRDefault="00D518A6" w:rsidP="008A074C">
            <w:pPr>
              <w:ind w:left="0" w:firstLine="0"/>
              <w:rPr>
                <w:rFonts w:cs="Times New Roman"/>
                <w:szCs w:val="24"/>
              </w:rPr>
            </w:pPr>
            <w:r w:rsidRPr="00E7163F">
              <w:rPr>
                <w:rFonts w:cs="Times New Roman"/>
                <w:szCs w:val="24"/>
              </w:rPr>
              <w:t xml:space="preserve">Duration of study </w:t>
            </w:r>
          </w:p>
        </w:tc>
        <w:tc>
          <w:tcPr>
            <w:tcW w:w="1050" w:type="dxa"/>
          </w:tcPr>
          <w:p w14:paraId="5D32AA46" w14:textId="49A21CDF" w:rsidR="00D518A6" w:rsidRPr="00E7163F" w:rsidRDefault="00D518A6" w:rsidP="008A074C">
            <w:pPr>
              <w:ind w:left="0" w:firstLine="0"/>
              <w:rPr>
                <w:rFonts w:cs="Times New Roman"/>
                <w:szCs w:val="24"/>
              </w:rPr>
            </w:pPr>
            <w:r w:rsidRPr="00E7163F">
              <w:rPr>
                <w:rFonts w:cs="Times New Roman"/>
                <w:szCs w:val="24"/>
              </w:rPr>
              <w:t>Country</w:t>
            </w:r>
          </w:p>
        </w:tc>
        <w:tc>
          <w:tcPr>
            <w:tcW w:w="1553" w:type="dxa"/>
          </w:tcPr>
          <w:p w14:paraId="6D2D9411" w14:textId="274CCAD8" w:rsidR="00D518A6" w:rsidRDefault="00D518A6" w:rsidP="008A074C">
            <w:pPr>
              <w:ind w:left="0" w:firstLine="0"/>
              <w:rPr>
                <w:rFonts w:cs="Times New Roman"/>
                <w:szCs w:val="24"/>
              </w:rPr>
            </w:pPr>
            <w:r w:rsidRPr="00E7163F">
              <w:rPr>
                <w:rFonts w:cs="Times New Roman"/>
                <w:szCs w:val="24"/>
              </w:rPr>
              <w:t xml:space="preserve">Exposure </w:t>
            </w:r>
          </w:p>
        </w:tc>
        <w:tc>
          <w:tcPr>
            <w:tcW w:w="2120" w:type="dxa"/>
          </w:tcPr>
          <w:p w14:paraId="08964B70" w14:textId="5EFEF279" w:rsidR="00D518A6" w:rsidRDefault="00D518A6" w:rsidP="008A074C">
            <w:pPr>
              <w:ind w:left="0" w:firstLine="0"/>
              <w:rPr>
                <w:rFonts w:cs="Times New Roman"/>
                <w:szCs w:val="24"/>
              </w:rPr>
            </w:pPr>
            <w:r w:rsidRPr="00E7163F">
              <w:rPr>
                <w:rFonts w:cs="Times New Roman"/>
                <w:szCs w:val="24"/>
              </w:rPr>
              <w:t>Comparator</w:t>
            </w:r>
          </w:p>
        </w:tc>
        <w:tc>
          <w:tcPr>
            <w:tcW w:w="2070" w:type="dxa"/>
          </w:tcPr>
          <w:p w14:paraId="08D8B386" w14:textId="47248080" w:rsidR="00D518A6" w:rsidRDefault="00D518A6" w:rsidP="008A074C">
            <w:pPr>
              <w:ind w:left="0" w:firstLine="0"/>
              <w:rPr>
                <w:rFonts w:cs="Times New Roman"/>
                <w:szCs w:val="24"/>
              </w:rPr>
            </w:pPr>
            <w:r w:rsidRPr="00E7163F">
              <w:rPr>
                <w:rFonts w:cs="Times New Roman"/>
                <w:szCs w:val="24"/>
              </w:rPr>
              <w:t xml:space="preserve">Median/mean age (yr) </w:t>
            </w:r>
          </w:p>
        </w:tc>
        <w:tc>
          <w:tcPr>
            <w:tcW w:w="1620" w:type="dxa"/>
          </w:tcPr>
          <w:p w14:paraId="58FFC0A2" w14:textId="5E627DB3" w:rsidR="00D518A6" w:rsidRPr="00E7163F" w:rsidRDefault="00D518A6" w:rsidP="008A074C">
            <w:pPr>
              <w:ind w:left="0" w:firstLine="0"/>
              <w:rPr>
                <w:rFonts w:cs="Times New Roman"/>
                <w:szCs w:val="24"/>
              </w:rPr>
            </w:pPr>
            <w:r w:rsidRPr="00E7163F">
              <w:rPr>
                <w:rFonts w:cs="Times New Roman"/>
                <w:szCs w:val="24"/>
              </w:rPr>
              <w:t xml:space="preserve">Median/mean follow-up (yr) </w:t>
            </w:r>
          </w:p>
        </w:tc>
        <w:tc>
          <w:tcPr>
            <w:tcW w:w="1620" w:type="dxa"/>
          </w:tcPr>
          <w:p w14:paraId="646559B6" w14:textId="0B46024C" w:rsidR="00D518A6" w:rsidRPr="00E7163F" w:rsidRDefault="00D518A6" w:rsidP="008A074C">
            <w:pPr>
              <w:ind w:left="0" w:firstLine="0"/>
              <w:rPr>
                <w:rFonts w:cs="Times New Roman"/>
                <w:szCs w:val="24"/>
              </w:rPr>
            </w:pPr>
            <w:r w:rsidRPr="00D518A6">
              <w:rPr>
                <w:rFonts w:cs="Times New Roman"/>
                <w:szCs w:val="24"/>
              </w:rPr>
              <w:t>Primary endpoints</w:t>
            </w:r>
          </w:p>
        </w:tc>
      </w:tr>
      <w:tr w:rsidR="00D518A6" w14:paraId="48485DDB" w14:textId="1F2F74F5" w:rsidTr="00C73D1A">
        <w:tc>
          <w:tcPr>
            <w:tcW w:w="1616" w:type="dxa"/>
            <w:vAlign w:val="bottom"/>
          </w:tcPr>
          <w:p w14:paraId="3FD7BED0" w14:textId="63A14AD0" w:rsidR="00D518A6" w:rsidRDefault="00D518A6" w:rsidP="008A074C">
            <w:pPr>
              <w:ind w:left="0" w:firstLine="0"/>
              <w:rPr>
                <w:rFonts w:cs="Times New Roman"/>
                <w:szCs w:val="24"/>
              </w:rPr>
            </w:pPr>
            <w:r>
              <w:rPr>
                <w:rFonts w:ascii="Calibri" w:hAnsi="Calibri" w:cs="Calibri"/>
                <w:sz w:val="22"/>
              </w:rPr>
              <w:t>Chen_2021</w:t>
            </w:r>
            <w:r w:rsidR="008216B0">
              <w:rPr>
                <w:rFonts w:ascii="Calibri" w:hAnsi="Calibri" w:cs="Calibri"/>
                <w:sz w:val="22"/>
              </w:rPr>
              <w:fldChar w:fldCharType="begin"/>
            </w:r>
            <w:r w:rsidR="008216B0">
              <w:rPr>
                <w:rFonts w:ascii="Calibri" w:hAnsi="Calibri" w:cs="Calibri"/>
                <w:sz w:val="22"/>
              </w:rPr>
              <w:instrText xml:space="preserve"> ADDIN EN.CITE &lt;EndNote&gt;&lt;Cite&gt;&lt;Author&gt;Chen&lt;/Author&gt;&lt;Year&gt;2021&lt;/Year&gt;&lt;RecNum&gt;31&lt;/RecNum&gt;&lt;DisplayText&gt;(21)&lt;/DisplayText&gt;&lt;record&gt;&lt;rec-number&gt;31&lt;/rec-number&gt;&lt;foreign-keys&gt;&lt;key app="EN" db-id="z0wzrepeuvref0et2t05pavhwzav92drt9ww" timestamp="1743577803"&gt;31&lt;/key&gt;&lt;/foreign-keys&gt;&lt;ref-type name="Journal Article"&gt;17&lt;/ref-type&gt;&lt;contributors&gt;&lt;authors&gt;&lt;author&gt;Chen, Dong‐Yi&lt;/author&gt;&lt;author&gt;Su, Po‐Jung&lt;/author&gt;&lt;author&gt;See, Lai‐Chu&lt;/author&gt;&lt;author&gt;Liu, Jia‐Rou&lt;/author&gt;&lt;author&gt;Chuang, Cheng‐Keng&lt;/author&gt;&lt;author&gt;Pang, See‐Tong&lt;/author&gt;&lt;author&gt;Tseng, Chi‐Nan&lt;/author&gt;&lt;author&gt;Chen, Shao‐Wei&lt;/author&gt;&lt;author&gt;Hsieh, I‐Chang&lt;/author&gt;&lt;author&gt;Chu, Pao‐Hsien&lt;/author&gt;&lt;/authors&gt;&lt;/contributors&gt;&lt;titles&gt;&lt;title&gt;Gonadotropin‐releasing hormone antagonist associated with lower cardiovascular risk compared with gonadotropin‐releasing hormone agonist in prostate cancer: A nationwide cohort and in vitro study&lt;/title&gt;&lt;secondary-title&gt;The Prostate&lt;/secondary-title&gt;&lt;/titles&gt;&lt;periodical&gt;&lt;full-title&gt;The Prostate&lt;/full-title&gt;&lt;/periodical&gt;&lt;pages&gt;902-912&lt;/pages&gt;&lt;volume&gt;81&lt;/volume&gt;&lt;number&gt;12&lt;/number&gt;&lt;dates&gt;&lt;year&gt;2021&lt;/year&gt;&lt;/dates&gt;&lt;isbn&gt;0270-4137&lt;/isbn&gt;&lt;urls&gt;&lt;/urls&gt;&lt;/record&gt;&lt;/Cite&gt;&lt;/EndNote&gt;</w:instrText>
            </w:r>
            <w:r w:rsidR="008216B0">
              <w:rPr>
                <w:rFonts w:ascii="Calibri" w:hAnsi="Calibri" w:cs="Calibri"/>
                <w:sz w:val="22"/>
              </w:rPr>
              <w:fldChar w:fldCharType="separate"/>
            </w:r>
            <w:r w:rsidR="008216B0">
              <w:rPr>
                <w:rFonts w:ascii="Calibri" w:hAnsi="Calibri" w:cs="Calibri"/>
                <w:noProof/>
                <w:sz w:val="22"/>
              </w:rPr>
              <w:t>(21)</w:t>
            </w:r>
            <w:r w:rsidR="008216B0">
              <w:rPr>
                <w:rFonts w:ascii="Calibri" w:hAnsi="Calibri" w:cs="Calibri"/>
                <w:sz w:val="22"/>
              </w:rPr>
              <w:fldChar w:fldCharType="end"/>
            </w:r>
          </w:p>
        </w:tc>
        <w:tc>
          <w:tcPr>
            <w:tcW w:w="1942" w:type="dxa"/>
          </w:tcPr>
          <w:p w14:paraId="52C01238" w14:textId="7DD331CA" w:rsidR="00D518A6" w:rsidRDefault="00D518A6" w:rsidP="008A074C">
            <w:pPr>
              <w:ind w:left="0" w:firstLine="0"/>
              <w:rPr>
                <w:rFonts w:cs="Times New Roman"/>
                <w:szCs w:val="24"/>
              </w:rPr>
            </w:pPr>
            <w:r w:rsidRPr="00BF5625">
              <w:rPr>
                <w:rFonts w:cs="Times New Roman"/>
                <w:szCs w:val="24"/>
              </w:rPr>
              <w:t>Retrospective</w:t>
            </w:r>
            <w:r>
              <w:rPr>
                <w:rFonts w:cs="Times New Roman"/>
                <w:szCs w:val="24"/>
              </w:rPr>
              <w:t xml:space="preserve"> </w:t>
            </w:r>
            <w:r w:rsidRPr="00BF5625">
              <w:rPr>
                <w:rFonts w:cs="Times New Roman"/>
                <w:szCs w:val="24"/>
              </w:rPr>
              <w:t xml:space="preserve"> active</w:t>
            </w:r>
            <w:r>
              <w:rPr>
                <w:rFonts w:cs="Times New Roman"/>
                <w:szCs w:val="24"/>
              </w:rPr>
              <w:t xml:space="preserve"> </w:t>
            </w:r>
            <w:r w:rsidRPr="00061300">
              <w:rPr>
                <w:rFonts w:cs="Times New Roman"/>
                <w:szCs w:val="24"/>
              </w:rPr>
              <w:t>cohort study</w:t>
            </w:r>
            <w:r>
              <w:rPr>
                <w:rFonts w:cs="Times New Roman"/>
                <w:szCs w:val="24"/>
              </w:rPr>
              <w:t xml:space="preserve"> </w:t>
            </w:r>
          </w:p>
        </w:tc>
        <w:tc>
          <w:tcPr>
            <w:tcW w:w="1349" w:type="dxa"/>
          </w:tcPr>
          <w:p w14:paraId="2D87D453" w14:textId="09CCEBC0" w:rsidR="00D518A6" w:rsidRDefault="00D518A6" w:rsidP="008A074C">
            <w:pPr>
              <w:ind w:left="0" w:firstLine="0"/>
              <w:rPr>
                <w:rFonts w:cs="Times New Roman"/>
                <w:szCs w:val="24"/>
              </w:rPr>
            </w:pPr>
            <w:r w:rsidRPr="00E7163F">
              <w:rPr>
                <w:rFonts w:cs="Times New Roman"/>
                <w:szCs w:val="24"/>
              </w:rPr>
              <w:t>2015–2018</w:t>
            </w:r>
          </w:p>
        </w:tc>
        <w:tc>
          <w:tcPr>
            <w:tcW w:w="1050" w:type="dxa"/>
          </w:tcPr>
          <w:p w14:paraId="55E1A56D" w14:textId="495B6CB7" w:rsidR="00D518A6" w:rsidRPr="00E7163F" w:rsidRDefault="00D518A6" w:rsidP="008A074C">
            <w:pPr>
              <w:ind w:left="0" w:firstLine="0"/>
              <w:rPr>
                <w:rFonts w:cs="Times New Roman"/>
                <w:szCs w:val="24"/>
              </w:rPr>
            </w:pPr>
            <w:r w:rsidRPr="00E7163F">
              <w:rPr>
                <w:rFonts w:cs="Times New Roman"/>
                <w:szCs w:val="24"/>
              </w:rPr>
              <w:t>Taiwan</w:t>
            </w:r>
          </w:p>
        </w:tc>
        <w:tc>
          <w:tcPr>
            <w:tcW w:w="1553" w:type="dxa"/>
          </w:tcPr>
          <w:p w14:paraId="62DB6F10" w14:textId="670A4974" w:rsidR="00D518A6" w:rsidRDefault="00D518A6" w:rsidP="008A074C">
            <w:pPr>
              <w:ind w:left="0" w:firstLine="0"/>
              <w:rPr>
                <w:rFonts w:cs="Times New Roman"/>
                <w:szCs w:val="24"/>
              </w:rPr>
            </w:pPr>
            <w:r w:rsidRPr="00BF5625">
              <w:rPr>
                <w:rFonts w:cs="Times New Roman"/>
                <w:szCs w:val="24"/>
              </w:rPr>
              <w:t xml:space="preserve">D (n = 666) </w:t>
            </w:r>
          </w:p>
        </w:tc>
        <w:tc>
          <w:tcPr>
            <w:tcW w:w="2120" w:type="dxa"/>
          </w:tcPr>
          <w:p w14:paraId="17409D5E" w14:textId="005932D9" w:rsidR="00D518A6" w:rsidRDefault="00D518A6" w:rsidP="008A074C">
            <w:pPr>
              <w:ind w:left="0" w:firstLine="0"/>
              <w:rPr>
                <w:rFonts w:cs="Times New Roman"/>
                <w:szCs w:val="24"/>
              </w:rPr>
            </w:pPr>
            <w:proofErr w:type="spellStart"/>
            <w:r w:rsidRPr="00BF5625">
              <w:rPr>
                <w:rFonts w:cs="Times New Roman"/>
                <w:szCs w:val="24"/>
              </w:rPr>
              <w:t>GnRHa</w:t>
            </w:r>
            <w:proofErr w:type="spellEnd"/>
            <w:r w:rsidRPr="00BF5625">
              <w:rPr>
                <w:rFonts w:cs="Times New Roman"/>
                <w:szCs w:val="24"/>
              </w:rPr>
              <w:t xml:space="preserve"> (n = 1332) </w:t>
            </w:r>
          </w:p>
        </w:tc>
        <w:tc>
          <w:tcPr>
            <w:tcW w:w="2070" w:type="dxa"/>
          </w:tcPr>
          <w:p w14:paraId="7ABD07E6" w14:textId="77777777" w:rsidR="00D518A6" w:rsidRDefault="00D518A6" w:rsidP="008A074C">
            <w:pPr>
              <w:ind w:left="0" w:firstLine="0"/>
              <w:rPr>
                <w:rFonts w:cs="Times New Roman"/>
                <w:szCs w:val="24"/>
              </w:rPr>
            </w:pPr>
            <w:r w:rsidRPr="00BF5625">
              <w:rPr>
                <w:rFonts w:cs="Times New Roman"/>
                <w:szCs w:val="24"/>
              </w:rPr>
              <w:t xml:space="preserve">D: 76 </w:t>
            </w:r>
          </w:p>
          <w:p w14:paraId="24E1EFD9" w14:textId="128E5E1C" w:rsidR="00D518A6" w:rsidRDefault="00D518A6" w:rsidP="008A074C">
            <w:pPr>
              <w:ind w:left="0" w:firstLine="0"/>
              <w:rPr>
                <w:rFonts w:cs="Times New Roman"/>
                <w:szCs w:val="24"/>
              </w:rPr>
            </w:pPr>
            <w:proofErr w:type="spellStart"/>
            <w:r w:rsidRPr="00BF5625">
              <w:rPr>
                <w:rFonts w:cs="Times New Roman"/>
                <w:szCs w:val="24"/>
              </w:rPr>
              <w:t>GnRHa</w:t>
            </w:r>
            <w:proofErr w:type="spellEnd"/>
            <w:r w:rsidRPr="00BF5625">
              <w:rPr>
                <w:rFonts w:cs="Times New Roman"/>
                <w:szCs w:val="24"/>
              </w:rPr>
              <w:t xml:space="preserve">: 76 </w:t>
            </w:r>
          </w:p>
        </w:tc>
        <w:tc>
          <w:tcPr>
            <w:tcW w:w="1620" w:type="dxa"/>
          </w:tcPr>
          <w:p w14:paraId="6E5BBC2A" w14:textId="7166DF38" w:rsidR="00D518A6" w:rsidRPr="00E7163F" w:rsidRDefault="00D518A6" w:rsidP="008A074C">
            <w:pPr>
              <w:ind w:left="0" w:firstLine="0"/>
              <w:rPr>
                <w:rFonts w:cs="Times New Roman"/>
                <w:szCs w:val="24"/>
              </w:rPr>
            </w:pPr>
            <w:r w:rsidRPr="00BF5625">
              <w:rPr>
                <w:rFonts w:cs="Times New Roman"/>
                <w:szCs w:val="24"/>
              </w:rPr>
              <w:t>Mean: 1.21</w:t>
            </w:r>
          </w:p>
        </w:tc>
        <w:tc>
          <w:tcPr>
            <w:tcW w:w="1620" w:type="dxa"/>
          </w:tcPr>
          <w:p w14:paraId="7AA6ACAC" w14:textId="5F52EC71" w:rsidR="00D518A6" w:rsidRPr="00BF5625" w:rsidRDefault="00D518A6" w:rsidP="008A074C">
            <w:pPr>
              <w:ind w:left="0" w:firstLine="0"/>
              <w:rPr>
                <w:rFonts w:cs="Times New Roman"/>
                <w:szCs w:val="24"/>
              </w:rPr>
            </w:pPr>
            <w:r w:rsidRPr="00D518A6">
              <w:rPr>
                <w:rFonts w:cs="Times New Roman"/>
                <w:szCs w:val="24"/>
              </w:rPr>
              <w:t> MACE</w:t>
            </w:r>
          </w:p>
        </w:tc>
      </w:tr>
      <w:tr w:rsidR="00D518A6" w14:paraId="2D025D95" w14:textId="673B423C" w:rsidTr="00C73D1A">
        <w:tc>
          <w:tcPr>
            <w:tcW w:w="1616" w:type="dxa"/>
            <w:vAlign w:val="bottom"/>
          </w:tcPr>
          <w:p w14:paraId="1B4587CE" w14:textId="6A4BBF85" w:rsidR="00D518A6" w:rsidRDefault="00D518A6" w:rsidP="008A074C">
            <w:pPr>
              <w:ind w:left="0" w:firstLine="0"/>
              <w:rPr>
                <w:rFonts w:cs="Times New Roman"/>
                <w:szCs w:val="24"/>
              </w:rPr>
            </w:pPr>
            <w:r>
              <w:rPr>
                <w:rFonts w:ascii="Calibri" w:hAnsi="Calibri" w:cs="Calibri"/>
                <w:sz w:val="22"/>
              </w:rPr>
              <w:t>Davey_2021</w:t>
            </w:r>
            <w:r w:rsidR="008216B0">
              <w:rPr>
                <w:rFonts w:ascii="Calibri" w:hAnsi="Calibri" w:cs="Calibri"/>
                <w:sz w:val="22"/>
              </w:rPr>
              <w:fldChar w:fldCharType="begin"/>
            </w:r>
            <w:r w:rsidR="008216B0">
              <w:rPr>
                <w:rFonts w:ascii="Calibri" w:hAnsi="Calibri" w:cs="Calibri"/>
                <w:sz w:val="22"/>
              </w:rPr>
              <w:instrText xml:space="preserve"> ADDIN EN.CITE &lt;EndNote&gt;&lt;Cite&gt;&lt;Author&gt;Davey&lt;/Author&gt;&lt;Year&gt;2021&lt;/Year&gt;&lt;RecNum&gt;32&lt;/RecNum&gt;&lt;DisplayText&gt;(22)&lt;/DisplayText&gt;&lt;record&gt;&lt;rec-number&gt;32&lt;/rec-number&gt;&lt;foreign-keys&gt;&lt;key app="EN" db-id="z0wzrepeuvref0et2t05pavhwzav92drt9ww" timestamp="1743577834"&gt;32&lt;/key&gt;&lt;/foreign-keys&gt;&lt;ref-type name="Journal Article"&gt;17&lt;/ref-type&gt;&lt;contributors&gt;&lt;authors&gt;&lt;author&gt;Davey, Patrick&lt;/author&gt;&lt;author&gt;Kirby, Mike G&lt;/author&gt;&lt;/authors&gt;&lt;/contributors&gt;&lt;titles&gt;&lt;title&gt;Cardiovascular risk profiles of GnRH agonists and antagonists: real-world analysis from UK general practice&lt;/title&gt;&lt;secondary-title&gt;World Journal of Urology&lt;/secondary-title&gt;&lt;/titles&gt;&lt;periodical&gt;&lt;full-title&gt;World Journal of Urology&lt;/full-title&gt;&lt;/periodical&gt;&lt;pages&gt;307-315&lt;/pages&gt;&lt;volume&gt;39&lt;/volume&gt;&lt;dates&gt;&lt;year&gt;2021&lt;/year&gt;&lt;/dates&gt;&lt;isbn&gt;0724-4983&lt;/isbn&gt;&lt;urls&gt;&lt;/urls&gt;&lt;/record&gt;&lt;/Cite&gt;&lt;/EndNote&gt;</w:instrText>
            </w:r>
            <w:r w:rsidR="008216B0">
              <w:rPr>
                <w:rFonts w:ascii="Calibri" w:hAnsi="Calibri" w:cs="Calibri"/>
                <w:sz w:val="22"/>
              </w:rPr>
              <w:fldChar w:fldCharType="separate"/>
            </w:r>
            <w:r w:rsidR="008216B0">
              <w:rPr>
                <w:rFonts w:ascii="Calibri" w:hAnsi="Calibri" w:cs="Calibri"/>
                <w:noProof/>
                <w:sz w:val="22"/>
              </w:rPr>
              <w:t>(22)</w:t>
            </w:r>
            <w:r w:rsidR="008216B0">
              <w:rPr>
                <w:rFonts w:ascii="Calibri" w:hAnsi="Calibri" w:cs="Calibri"/>
                <w:sz w:val="22"/>
              </w:rPr>
              <w:fldChar w:fldCharType="end"/>
            </w:r>
          </w:p>
        </w:tc>
        <w:tc>
          <w:tcPr>
            <w:tcW w:w="1942" w:type="dxa"/>
          </w:tcPr>
          <w:p w14:paraId="5577BD3B" w14:textId="01832FAF" w:rsidR="00D518A6" w:rsidRDefault="00D518A6" w:rsidP="008A074C">
            <w:pPr>
              <w:ind w:left="0" w:firstLine="0"/>
              <w:rPr>
                <w:rFonts w:cs="Times New Roman"/>
                <w:szCs w:val="24"/>
              </w:rPr>
            </w:pPr>
            <w:r w:rsidRPr="00BF5625">
              <w:rPr>
                <w:rFonts w:cs="Times New Roman"/>
                <w:szCs w:val="24"/>
              </w:rPr>
              <w:t xml:space="preserve">Retrospective </w:t>
            </w:r>
            <w:r w:rsidRPr="00061300">
              <w:rPr>
                <w:rFonts w:cs="Times New Roman"/>
                <w:szCs w:val="24"/>
              </w:rPr>
              <w:t>cohort study</w:t>
            </w:r>
          </w:p>
        </w:tc>
        <w:tc>
          <w:tcPr>
            <w:tcW w:w="1349" w:type="dxa"/>
          </w:tcPr>
          <w:p w14:paraId="6DA360A4" w14:textId="4C774819" w:rsidR="00D518A6" w:rsidRDefault="00D518A6" w:rsidP="008A074C">
            <w:pPr>
              <w:ind w:left="0" w:firstLine="0"/>
              <w:rPr>
                <w:rFonts w:cs="Times New Roman"/>
                <w:szCs w:val="24"/>
              </w:rPr>
            </w:pPr>
            <w:r w:rsidRPr="00E7163F">
              <w:rPr>
                <w:rFonts w:cs="Times New Roman"/>
                <w:szCs w:val="24"/>
              </w:rPr>
              <w:t>2010–2017</w:t>
            </w:r>
          </w:p>
        </w:tc>
        <w:tc>
          <w:tcPr>
            <w:tcW w:w="1050" w:type="dxa"/>
          </w:tcPr>
          <w:p w14:paraId="688247CF" w14:textId="3D11C80D" w:rsidR="00D518A6" w:rsidRDefault="00D518A6" w:rsidP="008A074C">
            <w:pPr>
              <w:ind w:left="0" w:firstLine="0"/>
              <w:rPr>
                <w:rFonts w:cs="Times New Roman"/>
                <w:szCs w:val="24"/>
              </w:rPr>
            </w:pPr>
            <w:r w:rsidRPr="00E7163F">
              <w:rPr>
                <w:rFonts w:cs="Times New Roman"/>
                <w:szCs w:val="24"/>
              </w:rPr>
              <w:t>UK</w:t>
            </w:r>
          </w:p>
        </w:tc>
        <w:tc>
          <w:tcPr>
            <w:tcW w:w="1553" w:type="dxa"/>
          </w:tcPr>
          <w:p w14:paraId="5A57449D" w14:textId="5BDEC43A" w:rsidR="00D518A6" w:rsidRDefault="00D518A6" w:rsidP="008A074C">
            <w:pPr>
              <w:ind w:left="0" w:firstLine="0"/>
              <w:rPr>
                <w:rFonts w:cs="Times New Roman"/>
                <w:szCs w:val="24"/>
              </w:rPr>
            </w:pPr>
            <w:r w:rsidRPr="00E7163F">
              <w:rPr>
                <w:rFonts w:cs="Times New Roman"/>
                <w:szCs w:val="24"/>
              </w:rPr>
              <w:t xml:space="preserve">D (n = 101) </w:t>
            </w:r>
          </w:p>
        </w:tc>
        <w:tc>
          <w:tcPr>
            <w:tcW w:w="2120" w:type="dxa"/>
          </w:tcPr>
          <w:p w14:paraId="43C093E5" w14:textId="77777777" w:rsidR="00302AEF" w:rsidRDefault="00D518A6" w:rsidP="008A074C">
            <w:pPr>
              <w:ind w:left="0" w:firstLine="0"/>
              <w:rPr>
                <w:rFonts w:cs="Times New Roman"/>
                <w:szCs w:val="24"/>
              </w:rPr>
            </w:pPr>
            <w:r w:rsidRPr="00E7163F">
              <w:rPr>
                <w:rFonts w:cs="Times New Roman"/>
                <w:szCs w:val="24"/>
              </w:rPr>
              <w:t xml:space="preserve">L (n = 3289) </w:t>
            </w:r>
          </w:p>
          <w:p w14:paraId="057E4367" w14:textId="77777777" w:rsidR="00302AEF" w:rsidRDefault="00D518A6" w:rsidP="008A074C">
            <w:pPr>
              <w:ind w:left="0" w:firstLine="0"/>
              <w:rPr>
                <w:rFonts w:cs="Times New Roman"/>
                <w:szCs w:val="24"/>
              </w:rPr>
            </w:pPr>
            <w:r w:rsidRPr="00E7163F">
              <w:rPr>
                <w:rFonts w:cs="Times New Roman"/>
                <w:szCs w:val="24"/>
              </w:rPr>
              <w:t xml:space="preserve">G (n = 4366) </w:t>
            </w:r>
          </w:p>
          <w:p w14:paraId="60F03012" w14:textId="4DF685F7" w:rsidR="00D518A6" w:rsidRDefault="00D518A6" w:rsidP="008A074C">
            <w:pPr>
              <w:ind w:left="0" w:firstLine="0"/>
              <w:rPr>
                <w:rFonts w:cs="Times New Roman"/>
                <w:szCs w:val="24"/>
              </w:rPr>
            </w:pPr>
            <w:r w:rsidRPr="00E7163F">
              <w:rPr>
                <w:rFonts w:cs="Times New Roman"/>
                <w:szCs w:val="24"/>
              </w:rPr>
              <w:t>Tr (n = 1325)</w:t>
            </w:r>
          </w:p>
        </w:tc>
        <w:tc>
          <w:tcPr>
            <w:tcW w:w="2070" w:type="dxa"/>
          </w:tcPr>
          <w:p w14:paraId="348A5ABB" w14:textId="77777777" w:rsidR="00D518A6" w:rsidRDefault="00D518A6" w:rsidP="008A074C">
            <w:pPr>
              <w:ind w:left="0" w:firstLine="0"/>
              <w:rPr>
                <w:rFonts w:cs="Times New Roman"/>
                <w:szCs w:val="24"/>
              </w:rPr>
            </w:pPr>
            <w:r w:rsidRPr="00E7163F">
              <w:rPr>
                <w:rFonts w:cs="Times New Roman"/>
                <w:szCs w:val="24"/>
              </w:rPr>
              <w:t xml:space="preserve">D: 74.8 </w:t>
            </w:r>
          </w:p>
          <w:p w14:paraId="147832E2" w14:textId="77777777" w:rsidR="00D518A6" w:rsidRDefault="00D518A6" w:rsidP="008A074C">
            <w:pPr>
              <w:ind w:left="0" w:firstLine="0"/>
              <w:rPr>
                <w:rFonts w:cs="Times New Roman"/>
                <w:szCs w:val="24"/>
              </w:rPr>
            </w:pPr>
            <w:r w:rsidRPr="00E7163F">
              <w:rPr>
                <w:rFonts w:cs="Times New Roman"/>
                <w:szCs w:val="24"/>
              </w:rPr>
              <w:t xml:space="preserve">L: 75.9 </w:t>
            </w:r>
          </w:p>
          <w:p w14:paraId="0113B77F" w14:textId="77777777" w:rsidR="00D518A6" w:rsidRDefault="00D518A6" w:rsidP="008A074C">
            <w:pPr>
              <w:ind w:left="0" w:firstLine="0"/>
              <w:rPr>
                <w:rFonts w:cs="Times New Roman"/>
                <w:szCs w:val="24"/>
              </w:rPr>
            </w:pPr>
            <w:r w:rsidRPr="00E7163F">
              <w:rPr>
                <w:rFonts w:cs="Times New Roman"/>
                <w:szCs w:val="24"/>
              </w:rPr>
              <w:t xml:space="preserve">G: 74.0 </w:t>
            </w:r>
          </w:p>
          <w:p w14:paraId="79711819" w14:textId="6244B655" w:rsidR="00D518A6" w:rsidRDefault="00D518A6" w:rsidP="008A074C">
            <w:pPr>
              <w:ind w:left="0" w:firstLine="0"/>
              <w:rPr>
                <w:rFonts w:cs="Times New Roman"/>
                <w:szCs w:val="24"/>
              </w:rPr>
            </w:pPr>
            <w:r w:rsidRPr="00E7163F">
              <w:rPr>
                <w:rFonts w:cs="Times New Roman"/>
                <w:szCs w:val="24"/>
              </w:rPr>
              <w:t>Tr: 75.3</w:t>
            </w:r>
          </w:p>
        </w:tc>
        <w:tc>
          <w:tcPr>
            <w:tcW w:w="1620" w:type="dxa"/>
          </w:tcPr>
          <w:p w14:paraId="717742A6" w14:textId="23215C26" w:rsidR="00D518A6" w:rsidRDefault="00D518A6" w:rsidP="008A074C">
            <w:pPr>
              <w:ind w:left="0" w:firstLine="0"/>
              <w:rPr>
                <w:rFonts w:cs="Times New Roman"/>
                <w:szCs w:val="24"/>
              </w:rPr>
            </w:pPr>
            <w:r w:rsidRPr="00E7163F">
              <w:rPr>
                <w:rFonts w:cs="Times New Roman"/>
                <w:szCs w:val="24"/>
              </w:rPr>
              <w:t>D: 74.8 L: 75.9 G: 74.0 Tr: 75.3</w:t>
            </w:r>
          </w:p>
        </w:tc>
        <w:tc>
          <w:tcPr>
            <w:tcW w:w="1620" w:type="dxa"/>
          </w:tcPr>
          <w:p w14:paraId="6768EC75" w14:textId="48DF87CE" w:rsidR="00D518A6" w:rsidRPr="00E7163F" w:rsidRDefault="00497702" w:rsidP="008A074C">
            <w:pPr>
              <w:ind w:left="0" w:firstLine="0"/>
              <w:rPr>
                <w:rFonts w:cs="Times New Roman"/>
                <w:szCs w:val="24"/>
              </w:rPr>
            </w:pPr>
            <w:r w:rsidRPr="00497702">
              <w:rPr>
                <w:rFonts w:cs="Times New Roman"/>
                <w:szCs w:val="24"/>
              </w:rPr>
              <w:t>Any cardiac event</w:t>
            </w:r>
          </w:p>
        </w:tc>
      </w:tr>
      <w:tr w:rsidR="00D518A6" w14:paraId="3D3ED74D" w14:textId="3F443D97" w:rsidTr="00C73D1A">
        <w:tc>
          <w:tcPr>
            <w:tcW w:w="1616" w:type="dxa"/>
            <w:vAlign w:val="bottom"/>
          </w:tcPr>
          <w:p w14:paraId="4ECCDC85" w14:textId="23F3F23A" w:rsidR="00D518A6" w:rsidRDefault="00D518A6" w:rsidP="008A074C">
            <w:pPr>
              <w:ind w:left="0" w:firstLine="0"/>
              <w:rPr>
                <w:rFonts w:cs="Times New Roman"/>
                <w:szCs w:val="24"/>
              </w:rPr>
            </w:pPr>
            <w:r>
              <w:rPr>
                <w:rFonts w:ascii="Calibri" w:hAnsi="Calibri" w:cs="Calibri"/>
                <w:sz w:val="22"/>
              </w:rPr>
              <w:t>Dragomir_2023</w:t>
            </w:r>
            <w:r w:rsidR="008216B0">
              <w:rPr>
                <w:rFonts w:ascii="Calibri" w:hAnsi="Calibri" w:cs="Calibri"/>
                <w:sz w:val="22"/>
              </w:rPr>
              <w:fldChar w:fldCharType="begin"/>
            </w:r>
            <w:r w:rsidR="008216B0">
              <w:rPr>
                <w:rFonts w:ascii="Calibri" w:hAnsi="Calibri" w:cs="Calibri"/>
                <w:sz w:val="22"/>
              </w:rPr>
              <w:instrText xml:space="preserve"> ADDIN EN.CITE &lt;EndNote&gt;&lt;Cite&gt;&lt;Author&gt;Dragomir&lt;/Author&gt;&lt;Year&gt;2023&lt;/Year&gt;&lt;RecNum&gt;33&lt;/RecNum&gt;&lt;DisplayText&gt;(23)&lt;/DisplayText&gt;&lt;record&gt;&lt;rec-number&gt;33&lt;/rec-number&gt;&lt;foreign-keys&gt;&lt;key app="EN" db-id="z0wzrepeuvref0et2t05pavhwzav92drt9ww" timestamp="1743577942"&gt;33&lt;/key&gt;&lt;/foreign-keys&gt;&lt;ref-type name="Journal Article"&gt;17&lt;/ref-type&gt;&lt;contributors&gt;&lt;authors&gt;&lt;author&gt;Dragomir, Alice&lt;/author&gt;&lt;author&gt;Touma, Nawar&lt;/author&gt;&lt;author&gt;Hu, Jason&lt;/author&gt;&lt;author&gt;Perreault, Sylvie&lt;/author&gt;&lt;author&gt;Aprikian, Armen G&lt;/author&gt;&lt;/authors&gt;&lt;/contributors&gt;&lt;titles&gt;&lt;title&gt;Androgen deprivation therapy and risk of cardiovascular disease in patients with prostate cancer based on existence of cardiovascular risk&lt;/title&gt;&lt;secondary-title&gt;Journal of the National Comprehensive Cancer Network&lt;/secondary-title&gt;&lt;/titles&gt;&lt;periodical&gt;&lt;full-title&gt;Journal of the National Comprehensive Cancer Network&lt;/full-title&gt;&lt;/periodical&gt;&lt;pages&gt;163-171&lt;/pages&gt;&lt;volume&gt;21&lt;/volume&gt;&lt;number&gt;2&lt;/number&gt;&lt;dates&gt;&lt;year&gt;2023&lt;/year&gt;&lt;/dates&gt;&lt;isbn&gt;1540-1405&lt;/isbn&gt;&lt;urls&gt;&lt;/urls&gt;&lt;/record&gt;&lt;/Cite&gt;&lt;/EndNote&gt;</w:instrText>
            </w:r>
            <w:r w:rsidR="008216B0">
              <w:rPr>
                <w:rFonts w:ascii="Calibri" w:hAnsi="Calibri" w:cs="Calibri"/>
                <w:sz w:val="22"/>
              </w:rPr>
              <w:fldChar w:fldCharType="separate"/>
            </w:r>
            <w:r w:rsidR="008216B0">
              <w:rPr>
                <w:rFonts w:ascii="Calibri" w:hAnsi="Calibri" w:cs="Calibri"/>
                <w:noProof/>
                <w:sz w:val="22"/>
              </w:rPr>
              <w:t>(23)</w:t>
            </w:r>
            <w:r w:rsidR="008216B0">
              <w:rPr>
                <w:rFonts w:ascii="Calibri" w:hAnsi="Calibri" w:cs="Calibri"/>
                <w:sz w:val="22"/>
              </w:rPr>
              <w:fldChar w:fldCharType="end"/>
            </w:r>
            <w:r w:rsidR="008216B0">
              <w:rPr>
                <w:rFonts w:ascii="Calibri" w:hAnsi="Calibri" w:cs="Calibri"/>
                <w:sz w:val="22"/>
              </w:rPr>
              <w:t xml:space="preserve"> </w:t>
            </w:r>
          </w:p>
        </w:tc>
        <w:tc>
          <w:tcPr>
            <w:tcW w:w="1942" w:type="dxa"/>
          </w:tcPr>
          <w:p w14:paraId="2434BE6C" w14:textId="50ED54C8" w:rsidR="00D518A6" w:rsidRDefault="00D518A6" w:rsidP="008A074C">
            <w:pPr>
              <w:ind w:left="0" w:firstLine="0"/>
              <w:rPr>
                <w:rFonts w:cs="Times New Roman"/>
                <w:szCs w:val="24"/>
              </w:rPr>
            </w:pPr>
            <w:r w:rsidRPr="00BF5625">
              <w:rPr>
                <w:rFonts w:cs="Times New Roman"/>
                <w:szCs w:val="24"/>
              </w:rPr>
              <w:t xml:space="preserve">Retrospective </w:t>
            </w:r>
            <w:r w:rsidRPr="00061300">
              <w:rPr>
                <w:rFonts w:cs="Times New Roman"/>
                <w:szCs w:val="24"/>
              </w:rPr>
              <w:t>cohort study</w:t>
            </w:r>
          </w:p>
        </w:tc>
        <w:tc>
          <w:tcPr>
            <w:tcW w:w="1349" w:type="dxa"/>
          </w:tcPr>
          <w:p w14:paraId="167A027D" w14:textId="0B91D882" w:rsidR="00D518A6" w:rsidRDefault="00D518A6" w:rsidP="008A074C">
            <w:pPr>
              <w:ind w:left="0" w:firstLine="0"/>
              <w:rPr>
                <w:rFonts w:cs="Times New Roman"/>
                <w:szCs w:val="24"/>
              </w:rPr>
            </w:pPr>
            <w:r w:rsidRPr="00E7163F">
              <w:rPr>
                <w:rFonts w:cs="Times New Roman"/>
                <w:szCs w:val="24"/>
              </w:rPr>
              <w:t>2012–2016</w:t>
            </w:r>
          </w:p>
        </w:tc>
        <w:tc>
          <w:tcPr>
            <w:tcW w:w="1050" w:type="dxa"/>
          </w:tcPr>
          <w:p w14:paraId="33B8C8B3" w14:textId="091C3DA6" w:rsidR="00D518A6" w:rsidRDefault="00D518A6" w:rsidP="008A074C">
            <w:pPr>
              <w:ind w:left="0" w:firstLine="0"/>
              <w:rPr>
                <w:rFonts w:cs="Times New Roman"/>
                <w:szCs w:val="24"/>
              </w:rPr>
            </w:pPr>
            <w:r w:rsidRPr="00E7163F">
              <w:rPr>
                <w:rFonts w:cs="Times New Roman"/>
                <w:szCs w:val="24"/>
              </w:rPr>
              <w:t>Canada</w:t>
            </w:r>
          </w:p>
        </w:tc>
        <w:tc>
          <w:tcPr>
            <w:tcW w:w="1553" w:type="dxa"/>
          </w:tcPr>
          <w:p w14:paraId="58C2EC29" w14:textId="43010632" w:rsidR="00D518A6" w:rsidRDefault="00D518A6" w:rsidP="008A074C">
            <w:pPr>
              <w:ind w:left="0" w:firstLine="0"/>
              <w:rPr>
                <w:rFonts w:cs="Times New Roman"/>
                <w:szCs w:val="24"/>
              </w:rPr>
            </w:pPr>
            <w:r w:rsidRPr="00E7163F">
              <w:rPr>
                <w:rFonts w:cs="Times New Roman"/>
                <w:szCs w:val="24"/>
              </w:rPr>
              <w:t xml:space="preserve">D (n = 584) </w:t>
            </w:r>
          </w:p>
        </w:tc>
        <w:tc>
          <w:tcPr>
            <w:tcW w:w="2120" w:type="dxa"/>
          </w:tcPr>
          <w:p w14:paraId="48EABCE8" w14:textId="195796DD" w:rsidR="00D518A6" w:rsidRDefault="00D518A6" w:rsidP="008A074C">
            <w:pPr>
              <w:ind w:left="0" w:firstLine="0"/>
              <w:rPr>
                <w:rFonts w:cs="Times New Roman"/>
                <w:szCs w:val="24"/>
              </w:rPr>
            </w:pPr>
            <w:proofErr w:type="spellStart"/>
            <w:r w:rsidRPr="00E7163F">
              <w:rPr>
                <w:rFonts w:cs="Times New Roman"/>
                <w:szCs w:val="24"/>
              </w:rPr>
              <w:t>GnRHa</w:t>
            </w:r>
            <w:proofErr w:type="spellEnd"/>
            <w:r w:rsidRPr="00E7163F">
              <w:rPr>
                <w:rFonts w:cs="Times New Roman"/>
                <w:szCs w:val="24"/>
              </w:rPr>
              <w:t xml:space="preserve"> (n = 10 201)</w:t>
            </w:r>
          </w:p>
        </w:tc>
        <w:tc>
          <w:tcPr>
            <w:tcW w:w="2070" w:type="dxa"/>
          </w:tcPr>
          <w:p w14:paraId="2E55798B" w14:textId="77777777" w:rsidR="00D518A6" w:rsidRDefault="00D518A6" w:rsidP="008A074C">
            <w:pPr>
              <w:ind w:left="0" w:firstLine="0"/>
              <w:rPr>
                <w:rFonts w:cs="Times New Roman"/>
                <w:szCs w:val="24"/>
              </w:rPr>
            </w:pPr>
            <w:r w:rsidRPr="00BF5625">
              <w:rPr>
                <w:rFonts w:cs="Times New Roman"/>
                <w:szCs w:val="24"/>
              </w:rPr>
              <w:t>D: 73.4</w:t>
            </w:r>
          </w:p>
          <w:p w14:paraId="705DEC37" w14:textId="12349C98" w:rsidR="00D518A6" w:rsidRDefault="00D518A6" w:rsidP="008A074C">
            <w:pPr>
              <w:ind w:left="0" w:firstLine="0"/>
              <w:rPr>
                <w:rFonts w:cs="Times New Roman"/>
                <w:szCs w:val="24"/>
              </w:rPr>
            </w:pPr>
            <w:proofErr w:type="spellStart"/>
            <w:r w:rsidRPr="00BF5625">
              <w:rPr>
                <w:rFonts w:cs="Times New Roman"/>
                <w:szCs w:val="24"/>
              </w:rPr>
              <w:t>GnRHa</w:t>
            </w:r>
            <w:proofErr w:type="spellEnd"/>
            <w:r w:rsidRPr="00BF5625">
              <w:rPr>
                <w:rFonts w:cs="Times New Roman"/>
                <w:szCs w:val="24"/>
              </w:rPr>
              <w:t xml:space="preserve">: 74.7 </w:t>
            </w:r>
          </w:p>
        </w:tc>
        <w:tc>
          <w:tcPr>
            <w:tcW w:w="1620" w:type="dxa"/>
          </w:tcPr>
          <w:p w14:paraId="76E725E6" w14:textId="73F5641D" w:rsidR="00D518A6" w:rsidRDefault="00D518A6" w:rsidP="008A074C">
            <w:pPr>
              <w:ind w:left="0" w:firstLine="0"/>
              <w:rPr>
                <w:rFonts w:cs="Times New Roman"/>
                <w:szCs w:val="24"/>
              </w:rPr>
            </w:pPr>
            <w:r>
              <w:rPr>
                <w:rFonts w:cs="Times New Roman"/>
                <w:szCs w:val="24"/>
              </w:rPr>
              <w:t>NA</w:t>
            </w:r>
          </w:p>
        </w:tc>
        <w:tc>
          <w:tcPr>
            <w:tcW w:w="1620" w:type="dxa"/>
          </w:tcPr>
          <w:p w14:paraId="37FB91B6" w14:textId="474E3F51" w:rsidR="00D518A6" w:rsidRDefault="00F85417" w:rsidP="008A074C">
            <w:pPr>
              <w:ind w:left="0" w:firstLine="0"/>
              <w:rPr>
                <w:rFonts w:cs="Times New Roman"/>
                <w:szCs w:val="24"/>
              </w:rPr>
            </w:pPr>
            <w:r>
              <w:rPr>
                <w:rFonts w:cs="Times New Roman"/>
                <w:szCs w:val="24"/>
              </w:rPr>
              <w:t xml:space="preserve">Composite </w:t>
            </w:r>
            <w:r w:rsidR="00497702" w:rsidRPr="00497702">
              <w:rPr>
                <w:rFonts w:cs="Times New Roman"/>
                <w:szCs w:val="24"/>
              </w:rPr>
              <w:t>CVD</w:t>
            </w:r>
          </w:p>
        </w:tc>
      </w:tr>
      <w:tr w:rsidR="00D518A6" w14:paraId="6A4D84AA" w14:textId="4911D460" w:rsidTr="00C73D1A">
        <w:tc>
          <w:tcPr>
            <w:tcW w:w="1616" w:type="dxa"/>
            <w:vAlign w:val="bottom"/>
          </w:tcPr>
          <w:p w14:paraId="2ED68BA0" w14:textId="4BD735FB" w:rsidR="00D518A6" w:rsidRDefault="00D518A6" w:rsidP="008A074C">
            <w:pPr>
              <w:ind w:left="0" w:firstLine="0"/>
              <w:rPr>
                <w:rFonts w:cs="Times New Roman"/>
                <w:szCs w:val="24"/>
              </w:rPr>
            </w:pPr>
            <w:r>
              <w:rPr>
                <w:rFonts w:ascii="Calibri" w:hAnsi="Calibri" w:cs="Calibri"/>
                <w:sz w:val="22"/>
              </w:rPr>
              <w:t>Merola_2022</w:t>
            </w:r>
            <w:r w:rsidR="008216B0">
              <w:rPr>
                <w:rFonts w:ascii="Calibri" w:hAnsi="Calibri" w:cs="Calibri"/>
                <w:sz w:val="22"/>
              </w:rPr>
              <w:fldChar w:fldCharType="begin"/>
            </w:r>
            <w:r w:rsidR="008216B0">
              <w:rPr>
                <w:rFonts w:ascii="Calibri" w:hAnsi="Calibri" w:cs="Calibri"/>
                <w:sz w:val="22"/>
              </w:rPr>
              <w:instrText xml:space="preserve"> ADDIN EN.CITE &lt;EndNote&gt;&lt;Cite&gt;&lt;Author&gt;Merola&lt;/Author&gt;&lt;Year&gt;2022&lt;/Year&gt;&lt;RecNum&gt;34&lt;/RecNum&gt;&lt;DisplayText&gt;(24)&lt;/DisplayText&gt;&lt;record&gt;&lt;rec-number&gt;34&lt;/rec-number&gt;&lt;foreign-keys&gt;&lt;key app="EN" db-id="z0wzrepeuvref0et2t05pavhwzav92drt9ww" timestamp="1743577981"&gt;34&lt;/key&gt;&lt;/foreign-keys&gt;&lt;ref-type name="Journal Article"&gt;17&lt;/ref-type&gt;&lt;contributors&gt;&lt;authors&gt;&lt;author&gt;Merola, David&lt;/author&gt;&lt;author&gt;Schneeweiss, Sebastian&lt;/author&gt;&lt;author&gt;Sreedhara, Sushama K&lt;/author&gt;&lt;author&gt;Zabotka, Luke E&lt;/author&gt;&lt;author&gt;Quinto, Kenneth&lt;/author&gt;&lt;author&gt;Concato, John&lt;/author&gt;&lt;author&gt;Wang, Shirley V&lt;/author&gt;&lt;/authors&gt;&lt;/contributors&gt;&lt;titles&gt;&lt;title&gt;Real-world evidence prediction of a phase IV oncology trial: comparative degarelix vs leuprolide safety&lt;/title&gt;&lt;secondary-title&gt;JNCI Cancer Spectrum&lt;/secondary-title&gt;&lt;/titles&gt;&lt;periodical&gt;&lt;full-title&gt;JNCI Cancer Spectrum&lt;/full-title&gt;&lt;/periodical&gt;&lt;pages&gt;pkac049&lt;/pages&gt;&lt;volume&gt;6&lt;/volume&gt;&lt;number&gt;4&lt;/number&gt;&lt;dates&gt;&lt;year&gt;2022&lt;/year&gt;&lt;/dates&gt;&lt;isbn&gt;2515-5091&lt;/isbn&gt;&lt;urls&gt;&lt;/urls&gt;&lt;/record&gt;&lt;/Cite&gt;&lt;/EndNote&gt;</w:instrText>
            </w:r>
            <w:r w:rsidR="008216B0">
              <w:rPr>
                <w:rFonts w:ascii="Calibri" w:hAnsi="Calibri" w:cs="Calibri"/>
                <w:sz w:val="22"/>
              </w:rPr>
              <w:fldChar w:fldCharType="separate"/>
            </w:r>
            <w:r w:rsidR="008216B0">
              <w:rPr>
                <w:rFonts w:ascii="Calibri" w:hAnsi="Calibri" w:cs="Calibri"/>
                <w:noProof/>
                <w:sz w:val="22"/>
              </w:rPr>
              <w:t>(24)</w:t>
            </w:r>
            <w:r w:rsidR="008216B0">
              <w:rPr>
                <w:rFonts w:ascii="Calibri" w:hAnsi="Calibri" w:cs="Calibri"/>
                <w:sz w:val="22"/>
              </w:rPr>
              <w:fldChar w:fldCharType="end"/>
            </w:r>
          </w:p>
        </w:tc>
        <w:tc>
          <w:tcPr>
            <w:tcW w:w="1942" w:type="dxa"/>
          </w:tcPr>
          <w:p w14:paraId="77B74D1E" w14:textId="7E82B36B" w:rsidR="00D518A6" w:rsidRDefault="00D518A6" w:rsidP="008A074C">
            <w:pPr>
              <w:ind w:left="0" w:firstLine="0"/>
              <w:rPr>
                <w:rFonts w:cs="Times New Roman"/>
                <w:szCs w:val="24"/>
              </w:rPr>
            </w:pPr>
            <w:r w:rsidRPr="00BF5625">
              <w:rPr>
                <w:rFonts w:cs="Times New Roman"/>
                <w:szCs w:val="24"/>
              </w:rPr>
              <w:t xml:space="preserve">Retrospective </w:t>
            </w:r>
            <w:r w:rsidRPr="00061300">
              <w:rPr>
                <w:rFonts w:cs="Times New Roman"/>
                <w:szCs w:val="24"/>
              </w:rPr>
              <w:t>cohort study</w:t>
            </w:r>
          </w:p>
        </w:tc>
        <w:tc>
          <w:tcPr>
            <w:tcW w:w="1349" w:type="dxa"/>
          </w:tcPr>
          <w:p w14:paraId="4E16697D" w14:textId="2EC12272" w:rsidR="00D518A6" w:rsidRDefault="00D518A6" w:rsidP="008A074C">
            <w:pPr>
              <w:ind w:left="0" w:firstLine="0"/>
              <w:rPr>
                <w:rFonts w:cs="Times New Roman"/>
                <w:szCs w:val="24"/>
              </w:rPr>
            </w:pPr>
            <w:r w:rsidRPr="00BF5625">
              <w:rPr>
                <w:rFonts w:cs="Times New Roman"/>
                <w:szCs w:val="24"/>
              </w:rPr>
              <w:t xml:space="preserve">2008–2020 </w:t>
            </w:r>
          </w:p>
        </w:tc>
        <w:tc>
          <w:tcPr>
            <w:tcW w:w="1050" w:type="dxa"/>
          </w:tcPr>
          <w:p w14:paraId="1CE50E6D" w14:textId="4253340C" w:rsidR="00D518A6" w:rsidRDefault="00D518A6" w:rsidP="008A074C">
            <w:pPr>
              <w:ind w:left="0" w:firstLine="0"/>
              <w:rPr>
                <w:rFonts w:cs="Times New Roman"/>
                <w:szCs w:val="24"/>
              </w:rPr>
            </w:pPr>
            <w:r w:rsidRPr="00BF5625">
              <w:rPr>
                <w:rFonts w:cs="Times New Roman"/>
                <w:szCs w:val="24"/>
              </w:rPr>
              <w:t>USA</w:t>
            </w:r>
          </w:p>
        </w:tc>
        <w:tc>
          <w:tcPr>
            <w:tcW w:w="1553" w:type="dxa"/>
          </w:tcPr>
          <w:p w14:paraId="59E7629B" w14:textId="238065C8" w:rsidR="00D518A6" w:rsidRDefault="00D518A6" w:rsidP="008A074C">
            <w:pPr>
              <w:ind w:left="0" w:firstLine="0"/>
              <w:rPr>
                <w:rFonts w:cs="Times New Roman"/>
                <w:szCs w:val="24"/>
              </w:rPr>
            </w:pPr>
            <w:r w:rsidRPr="00BF5625">
              <w:rPr>
                <w:rFonts w:cs="Times New Roman"/>
                <w:szCs w:val="24"/>
              </w:rPr>
              <w:t xml:space="preserve">D (n = 1887) </w:t>
            </w:r>
          </w:p>
        </w:tc>
        <w:tc>
          <w:tcPr>
            <w:tcW w:w="2120" w:type="dxa"/>
          </w:tcPr>
          <w:p w14:paraId="1CBECC92" w14:textId="0FCD7676" w:rsidR="00D518A6" w:rsidRDefault="00D518A6" w:rsidP="008A074C">
            <w:pPr>
              <w:ind w:left="0" w:firstLine="0"/>
              <w:rPr>
                <w:rFonts w:cs="Times New Roman"/>
                <w:szCs w:val="24"/>
              </w:rPr>
            </w:pPr>
            <w:r w:rsidRPr="00BF5625">
              <w:rPr>
                <w:rFonts w:cs="Times New Roman"/>
                <w:szCs w:val="24"/>
              </w:rPr>
              <w:t>L (n = 1887)</w:t>
            </w:r>
          </w:p>
        </w:tc>
        <w:tc>
          <w:tcPr>
            <w:tcW w:w="2070" w:type="dxa"/>
          </w:tcPr>
          <w:p w14:paraId="6104A18F" w14:textId="77777777" w:rsidR="00D518A6" w:rsidRDefault="00D518A6" w:rsidP="008A074C">
            <w:pPr>
              <w:ind w:left="0" w:firstLine="0"/>
              <w:rPr>
                <w:rFonts w:cs="Times New Roman"/>
                <w:szCs w:val="24"/>
              </w:rPr>
            </w:pPr>
            <w:r w:rsidRPr="00BF5625">
              <w:rPr>
                <w:rFonts w:cs="Times New Roman"/>
                <w:szCs w:val="24"/>
              </w:rPr>
              <w:t xml:space="preserve">D: 76.2 </w:t>
            </w:r>
          </w:p>
          <w:p w14:paraId="5EBAC4F8" w14:textId="3C2E8DD9" w:rsidR="00D518A6" w:rsidRDefault="00D518A6" w:rsidP="008A074C">
            <w:pPr>
              <w:ind w:left="0" w:firstLine="0"/>
              <w:rPr>
                <w:rFonts w:cs="Times New Roman"/>
                <w:szCs w:val="24"/>
              </w:rPr>
            </w:pPr>
            <w:r w:rsidRPr="00BF5625">
              <w:rPr>
                <w:rFonts w:cs="Times New Roman"/>
                <w:szCs w:val="24"/>
              </w:rPr>
              <w:t>L: 76.2</w:t>
            </w:r>
          </w:p>
        </w:tc>
        <w:tc>
          <w:tcPr>
            <w:tcW w:w="1620" w:type="dxa"/>
          </w:tcPr>
          <w:p w14:paraId="7E3D4FB6" w14:textId="77777777" w:rsidR="00D518A6" w:rsidRDefault="00D518A6" w:rsidP="008A074C">
            <w:pPr>
              <w:ind w:left="0" w:firstLine="0"/>
              <w:rPr>
                <w:rFonts w:cs="Times New Roman"/>
                <w:szCs w:val="24"/>
              </w:rPr>
            </w:pPr>
            <w:r w:rsidRPr="00BF5625">
              <w:rPr>
                <w:rFonts w:cs="Times New Roman"/>
                <w:szCs w:val="24"/>
              </w:rPr>
              <w:t xml:space="preserve">D: 0.19 </w:t>
            </w:r>
          </w:p>
          <w:p w14:paraId="24214953" w14:textId="67C4A6BB" w:rsidR="00D518A6" w:rsidRDefault="00D518A6" w:rsidP="008A074C">
            <w:pPr>
              <w:ind w:left="0" w:firstLine="0"/>
              <w:rPr>
                <w:rFonts w:cs="Times New Roman"/>
                <w:szCs w:val="24"/>
              </w:rPr>
            </w:pPr>
            <w:r w:rsidRPr="00BF5625">
              <w:rPr>
                <w:rFonts w:cs="Times New Roman"/>
                <w:szCs w:val="24"/>
              </w:rPr>
              <w:t>L: 0.24</w:t>
            </w:r>
          </w:p>
        </w:tc>
        <w:tc>
          <w:tcPr>
            <w:tcW w:w="1620" w:type="dxa"/>
          </w:tcPr>
          <w:p w14:paraId="4C0D37DF" w14:textId="0A218525" w:rsidR="00D518A6" w:rsidRPr="00BF5625" w:rsidRDefault="00497702" w:rsidP="008A074C">
            <w:pPr>
              <w:ind w:left="0" w:firstLine="0"/>
              <w:rPr>
                <w:rFonts w:cs="Times New Roman"/>
                <w:szCs w:val="24"/>
              </w:rPr>
            </w:pPr>
            <w:r w:rsidRPr="00497702">
              <w:rPr>
                <w:rFonts w:cs="Times New Roman"/>
                <w:szCs w:val="24"/>
              </w:rPr>
              <w:t>Composite</w:t>
            </w:r>
            <w:r>
              <w:rPr>
                <w:rFonts w:cs="Times New Roman"/>
                <w:szCs w:val="24"/>
              </w:rPr>
              <w:t xml:space="preserve"> </w:t>
            </w:r>
            <w:r w:rsidRPr="00497702">
              <w:rPr>
                <w:rFonts w:cs="Times New Roman"/>
                <w:szCs w:val="24"/>
              </w:rPr>
              <w:t xml:space="preserve">myocardial </w:t>
            </w:r>
            <w:r>
              <w:rPr>
                <w:rFonts w:cs="Times New Roman"/>
                <w:szCs w:val="24"/>
              </w:rPr>
              <w:t>infarction and stroke</w:t>
            </w:r>
          </w:p>
        </w:tc>
      </w:tr>
      <w:tr w:rsidR="00D518A6" w14:paraId="3C97DA0B" w14:textId="32254D6A" w:rsidTr="00C73D1A">
        <w:tc>
          <w:tcPr>
            <w:tcW w:w="1616" w:type="dxa"/>
            <w:vAlign w:val="bottom"/>
          </w:tcPr>
          <w:p w14:paraId="3AE75589" w14:textId="3E837880" w:rsidR="00D518A6" w:rsidRDefault="00D518A6" w:rsidP="008A074C">
            <w:pPr>
              <w:ind w:left="0" w:firstLine="0"/>
              <w:rPr>
                <w:rFonts w:cs="Times New Roman"/>
                <w:szCs w:val="24"/>
              </w:rPr>
            </w:pPr>
            <w:r>
              <w:rPr>
                <w:rFonts w:ascii="Calibri" w:hAnsi="Calibri" w:cs="Calibri"/>
                <w:sz w:val="22"/>
              </w:rPr>
              <w:t>Perrone_2020</w:t>
            </w:r>
            <w:r w:rsidR="008216B0">
              <w:rPr>
                <w:rFonts w:ascii="Calibri" w:hAnsi="Calibri" w:cs="Calibri"/>
                <w:sz w:val="22"/>
              </w:rPr>
              <w:fldChar w:fldCharType="begin"/>
            </w:r>
            <w:r w:rsidR="008216B0">
              <w:rPr>
                <w:rFonts w:ascii="Calibri" w:hAnsi="Calibri" w:cs="Calibri"/>
                <w:sz w:val="22"/>
              </w:rPr>
              <w:instrText xml:space="preserve"> ADDIN EN.CITE &lt;EndNote&gt;&lt;Cite&gt;&lt;Author&gt;Perrone&lt;/Author&gt;&lt;Year&gt;2020&lt;/Year&gt;&lt;RecNum&gt;35&lt;/RecNum&gt;&lt;DisplayText&gt;(25)&lt;/DisplayText&gt;&lt;record&gt;&lt;rec-number&gt;35&lt;/rec-number&gt;&lt;foreign-keys&gt;&lt;key app="EN" db-id="z0wzrepeuvref0et2t05pavhwzav92drt9ww" timestamp="1743578012"&gt;35&lt;/key&gt;&lt;/foreign-keys&gt;&lt;ref-type name="Journal Article"&gt;17&lt;/ref-type&gt;&lt;contributors&gt;&lt;authors&gt;&lt;author&gt;Perrone, Valentina&lt;/author&gt;&lt;author&gt;Degli Esposti, Luca&lt;/author&gt;&lt;author&gt;Giacomini, Elisa&lt;/author&gt;&lt;author&gt;Veronesi, Chiara&lt;/author&gt;&lt;author&gt;Blini, Valerio&lt;/author&gt;&lt;author&gt;Oderda, Marco&lt;/author&gt;&lt;/authors&gt;&lt;/contributors&gt;&lt;titles&gt;&lt;title&gt;Cardiovascular risk profile in prostate cancer patients treated with GnRH agonists versus antagonists: an Italian real-world analysis&lt;/title&gt;&lt;secondary-title&gt;Therapeutics and clinical risk management&lt;/secondary-title&gt;&lt;/titles&gt;&lt;periodical&gt;&lt;full-title&gt;Therapeutics and clinical risk management&lt;/full-title&gt;&lt;/periodical&gt;&lt;pages&gt;393-401&lt;/pages&gt;&lt;dates&gt;&lt;year&gt;2020&lt;/year&gt;&lt;/dates&gt;&lt;isbn&gt;1178-203X&lt;/isbn&gt;&lt;urls&gt;&lt;/urls&gt;&lt;/record&gt;&lt;/Cite&gt;&lt;/EndNote&gt;</w:instrText>
            </w:r>
            <w:r w:rsidR="008216B0">
              <w:rPr>
                <w:rFonts w:ascii="Calibri" w:hAnsi="Calibri" w:cs="Calibri"/>
                <w:sz w:val="22"/>
              </w:rPr>
              <w:fldChar w:fldCharType="separate"/>
            </w:r>
            <w:r w:rsidR="008216B0">
              <w:rPr>
                <w:rFonts w:ascii="Calibri" w:hAnsi="Calibri" w:cs="Calibri"/>
                <w:noProof/>
                <w:sz w:val="22"/>
              </w:rPr>
              <w:t>(25)</w:t>
            </w:r>
            <w:r w:rsidR="008216B0">
              <w:rPr>
                <w:rFonts w:ascii="Calibri" w:hAnsi="Calibri" w:cs="Calibri"/>
                <w:sz w:val="22"/>
              </w:rPr>
              <w:fldChar w:fldCharType="end"/>
            </w:r>
          </w:p>
        </w:tc>
        <w:tc>
          <w:tcPr>
            <w:tcW w:w="1942" w:type="dxa"/>
          </w:tcPr>
          <w:p w14:paraId="57C93233" w14:textId="13DE3733" w:rsidR="00D518A6" w:rsidRDefault="00D518A6" w:rsidP="008A074C">
            <w:pPr>
              <w:ind w:left="0" w:firstLine="0"/>
              <w:rPr>
                <w:rFonts w:cs="Times New Roman"/>
                <w:szCs w:val="24"/>
              </w:rPr>
            </w:pPr>
            <w:r w:rsidRPr="00BF5625">
              <w:rPr>
                <w:rFonts w:cs="Times New Roman"/>
                <w:szCs w:val="24"/>
              </w:rPr>
              <w:t xml:space="preserve">Retrospective </w:t>
            </w:r>
            <w:r w:rsidRPr="00061300">
              <w:rPr>
                <w:rFonts w:cs="Times New Roman"/>
                <w:szCs w:val="24"/>
              </w:rPr>
              <w:t>cohort study</w:t>
            </w:r>
          </w:p>
        </w:tc>
        <w:tc>
          <w:tcPr>
            <w:tcW w:w="1349" w:type="dxa"/>
          </w:tcPr>
          <w:p w14:paraId="5C97A8AA" w14:textId="3316E876" w:rsidR="00D518A6" w:rsidRDefault="00D518A6" w:rsidP="008A074C">
            <w:pPr>
              <w:ind w:left="0" w:firstLine="0"/>
              <w:rPr>
                <w:rFonts w:cs="Times New Roman"/>
                <w:szCs w:val="24"/>
              </w:rPr>
            </w:pPr>
            <w:r w:rsidRPr="00BF5625">
              <w:rPr>
                <w:rFonts w:cs="Times New Roman"/>
                <w:szCs w:val="24"/>
              </w:rPr>
              <w:t>2013–2016</w:t>
            </w:r>
          </w:p>
        </w:tc>
        <w:tc>
          <w:tcPr>
            <w:tcW w:w="1050" w:type="dxa"/>
          </w:tcPr>
          <w:p w14:paraId="01BB2698" w14:textId="0741C729" w:rsidR="00D518A6" w:rsidRDefault="00D518A6" w:rsidP="008A074C">
            <w:pPr>
              <w:ind w:left="0" w:firstLine="0"/>
              <w:rPr>
                <w:rFonts w:cs="Times New Roman"/>
                <w:szCs w:val="24"/>
              </w:rPr>
            </w:pPr>
            <w:r w:rsidRPr="00BF5625">
              <w:rPr>
                <w:rFonts w:cs="Times New Roman"/>
                <w:szCs w:val="24"/>
              </w:rPr>
              <w:t>Italy</w:t>
            </w:r>
          </w:p>
        </w:tc>
        <w:tc>
          <w:tcPr>
            <w:tcW w:w="1553" w:type="dxa"/>
          </w:tcPr>
          <w:p w14:paraId="2D70CC3E" w14:textId="4EF85947" w:rsidR="00D518A6" w:rsidRDefault="00D518A6" w:rsidP="008A074C">
            <w:pPr>
              <w:ind w:left="0" w:firstLine="0"/>
              <w:rPr>
                <w:rFonts w:cs="Times New Roman"/>
                <w:szCs w:val="24"/>
              </w:rPr>
            </w:pPr>
            <w:r w:rsidRPr="00BF5625">
              <w:rPr>
                <w:rFonts w:cs="Times New Roman"/>
                <w:szCs w:val="24"/>
              </w:rPr>
              <w:t xml:space="preserve">D (n = 627) </w:t>
            </w:r>
          </w:p>
        </w:tc>
        <w:tc>
          <w:tcPr>
            <w:tcW w:w="2120" w:type="dxa"/>
          </w:tcPr>
          <w:p w14:paraId="5B58363F" w14:textId="2885E67D" w:rsidR="00D518A6" w:rsidRDefault="00D518A6" w:rsidP="008A074C">
            <w:pPr>
              <w:ind w:left="0" w:firstLine="0"/>
              <w:rPr>
                <w:rFonts w:cs="Times New Roman"/>
                <w:szCs w:val="24"/>
              </w:rPr>
            </w:pPr>
            <w:proofErr w:type="spellStart"/>
            <w:r w:rsidRPr="00BF5625">
              <w:rPr>
                <w:rFonts w:cs="Times New Roman"/>
                <w:szCs w:val="24"/>
              </w:rPr>
              <w:t>GnRHa</w:t>
            </w:r>
            <w:proofErr w:type="spellEnd"/>
            <w:r w:rsidRPr="00BF5625">
              <w:rPr>
                <w:rFonts w:cs="Times New Roman"/>
                <w:szCs w:val="24"/>
              </w:rPr>
              <w:t xml:space="preserve"> (n = 9158)</w:t>
            </w:r>
          </w:p>
        </w:tc>
        <w:tc>
          <w:tcPr>
            <w:tcW w:w="2070" w:type="dxa"/>
          </w:tcPr>
          <w:p w14:paraId="7FB67D68" w14:textId="77777777" w:rsidR="00D518A6" w:rsidRDefault="00D518A6" w:rsidP="008A074C">
            <w:pPr>
              <w:ind w:left="0" w:firstLine="0"/>
              <w:rPr>
                <w:rFonts w:cs="Times New Roman"/>
                <w:szCs w:val="24"/>
              </w:rPr>
            </w:pPr>
            <w:r w:rsidRPr="00BF5625">
              <w:rPr>
                <w:rFonts w:cs="Times New Roman"/>
                <w:szCs w:val="24"/>
              </w:rPr>
              <w:t xml:space="preserve">D: 74.8 </w:t>
            </w:r>
          </w:p>
          <w:p w14:paraId="6225F2EA" w14:textId="360883D6" w:rsidR="00D518A6" w:rsidRDefault="00D518A6" w:rsidP="008A074C">
            <w:pPr>
              <w:ind w:left="0" w:firstLine="0"/>
              <w:rPr>
                <w:rFonts w:cs="Times New Roman"/>
                <w:szCs w:val="24"/>
              </w:rPr>
            </w:pPr>
            <w:proofErr w:type="spellStart"/>
            <w:r w:rsidRPr="00BF5625">
              <w:rPr>
                <w:rFonts w:cs="Times New Roman"/>
                <w:szCs w:val="24"/>
              </w:rPr>
              <w:t>GnRHa</w:t>
            </w:r>
            <w:proofErr w:type="spellEnd"/>
            <w:r w:rsidRPr="00BF5625">
              <w:rPr>
                <w:rFonts w:cs="Times New Roman"/>
                <w:szCs w:val="24"/>
              </w:rPr>
              <w:t>: 76.9</w:t>
            </w:r>
          </w:p>
        </w:tc>
        <w:tc>
          <w:tcPr>
            <w:tcW w:w="1620" w:type="dxa"/>
          </w:tcPr>
          <w:p w14:paraId="1B905FD6" w14:textId="497110D1" w:rsidR="00D518A6" w:rsidRDefault="00D518A6" w:rsidP="008A074C">
            <w:pPr>
              <w:ind w:left="0" w:firstLine="0"/>
              <w:rPr>
                <w:rFonts w:cs="Times New Roman"/>
                <w:szCs w:val="24"/>
              </w:rPr>
            </w:pPr>
            <w:r w:rsidRPr="00BF5625">
              <w:rPr>
                <w:rFonts w:cs="Times New Roman"/>
                <w:szCs w:val="24"/>
              </w:rPr>
              <w:t>Overall: 3.3</w:t>
            </w:r>
          </w:p>
        </w:tc>
        <w:tc>
          <w:tcPr>
            <w:tcW w:w="1620" w:type="dxa"/>
          </w:tcPr>
          <w:p w14:paraId="5C17A875" w14:textId="17A6D4F9" w:rsidR="00D518A6" w:rsidRPr="00BF5625" w:rsidRDefault="00086EA1" w:rsidP="008A074C">
            <w:pPr>
              <w:ind w:left="0" w:firstLine="0"/>
              <w:rPr>
                <w:rFonts w:cs="Times New Roman"/>
                <w:szCs w:val="24"/>
              </w:rPr>
            </w:pPr>
            <w:r w:rsidRPr="00086EA1">
              <w:rPr>
                <w:rFonts w:cs="Times New Roman"/>
                <w:szCs w:val="24"/>
              </w:rPr>
              <w:t>CV Events</w:t>
            </w:r>
          </w:p>
        </w:tc>
      </w:tr>
      <w:tr w:rsidR="00D518A6" w14:paraId="7B263490" w14:textId="12A67F40" w:rsidTr="00C73D1A">
        <w:tc>
          <w:tcPr>
            <w:tcW w:w="1616" w:type="dxa"/>
            <w:vAlign w:val="bottom"/>
          </w:tcPr>
          <w:p w14:paraId="2894B2D0" w14:textId="1B657479" w:rsidR="00D518A6" w:rsidRDefault="00D518A6" w:rsidP="008A074C">
            <w:pPr>
              <w:ind w:left="0" w:firstLine="0"/>
              <w:rPr>
                <w:rFonts w:cs="Times New Roman"/>
                <w:szCs w:val="24"/>
              </w:rPr>
            </w:pPr>
            <w:r>
              <w:rPr>
                <w:rFonts w:ascii="Calibri" w:hAnsi="Calibri" w:cs="Calibri"/>
                <w:sz w:val="22"/>
              </w:rPr>
              <w:t>Scailteux_2017</w:t>
            </w:r>
            <w:r w:rsidR="008216B0">
              <w:rPr>
                <w:rFonts w:ascii="Calibri" w:hAnsi="Calibri" w:cs="Calibri"/>
                <w:sz w:val="22"/>
              </w:rPr>
              <w:fldChar w:fldCharType="begin"/>
            </w:r>
            <w:r w:rsidR="008216B0">
              <w:rPr>
                <w:rFonts w:ascii="Calibri" w:hAnsi="Calibri" w:cs="Calibri"/>
                <w:sz w:val="22"/>
              </w:rPr>
              <w:instrText xml:space="preserve"> ADDIN EN.CITE &lt;EndNote&gt;&lt;Cite&gt;&lt;Author&gt;Scailteux&lt;/Author&gt;&lt;Year&gt;2017&lt;/Year&gt;&lt;RecNum&gt;36&lt;/RecNum&gt;&lt;DisplayText&gt;(26)&lt;/DisplayText&gt;&lt;record&gt;&lt;rec-number&gt;36&lt;/rec-number&gt;&lt;foreign-keys&gt;&lt;key app="EN" db-id="z0wzrepeuvref0et2t05pavhwzav92drt9ww" timestamp="1743578048"&gt;36&lt;/key&gt;&lt;/foreign-keys&gt;&lt;ref-type name="Journal Article"&gt;17&lt;/ref-type&gt;&lt;contributors&gt;&lt;authors&gt;&lt;author&gt;Scailteux, Lucie-Marie&lt;/author&gt;&lt;author&gt;Vincendeau, Sébastien&lt;/author&gt;&lt;author&gt;Balusson, Frédéric&lt;/author&gt;&lt;author&gt;Leclercq, Christophe&lt;/author&gt;&lt;author&gt;Happe, André&lt;/author&gt;&lt;author&gt;Le Nautout, Béranger&lt;/author&gt;&lt;author&gt;Polard, Elisabeth&lt;/author&gt;&lt;author&gt;Nowak, Emmanuel&lt;/author&gt;&lt;author&gt;Oger, Emmanuel&lt;/author&gt;&lt;/authors&gt;&lt;/contributors&gt;&lt;titles&gt;&lt;title&gt;Androgen deprivation therapy and cardiovascular risk: No meaningful difference between GnRH antagonist and agonists—a nationwide population-based cohort study based on 2010–2013 French Health Insurance data&lt;/title&gt;&lt;secondary-title&gt;European journal of cancer&lt;/secondary-title&gt;&lt;/titles&gt;&lt;periodical&gt;&lt;full-title&gt;European journal of cancer&lt;/full-title&gt;&lt;/periodical&gt;&lt;pages&gt;99-108&lt;/pages&gt;&lt;volume&gt;77&lt;/volume&gt;&lt;dates&gt;&lt;year&gt;2017&lt;/year&gt;&lt;/dates&gt;&lt;isbn&gt;0959-8049&lt;/isbn&gt;&lt;urls&gt;&lt;/urls&gt;&lt;/record&gt;&lt;/Cite&gt;&lt;/EndNote&gt;</w:instrText>
            </w:r>
            <w:r w:rsidR="008216B0">
              <w:rPr>
                <w:rFonts w:ascii="Calibri" w:hAnsi="Calibri" w:cs="Calibri"/>
                <w:sz w:val="22"/>
              </w:rPr>
              <w:fldChar w:fldCharType="separate"/>
            </w:r>
            <w:r w:rsidR="008216B0">
              <w:rPr>
                <w:rFonts w:ascii="Calibri" w:hAnsi="Calibri" w:cs="Calibri"/>
                <w:noProof/>
                <w:sz w:val="22"/>
              </w:rPr>
              <w:t>(26)</w:t>
            </w:r>
            <w:r w:rsidR="008216B0">
              <w:rPr>
                <w:rFonts w:ascii="Calibri" w:hAnsi="Calibri" w:cs="Calibri"/>
                <w:sz w:val="22"/>
              </w:rPr>
              <w:fldChar w:fldCharType="end"/>
            </w:r>
          </w:p>
        </w:tc>
        <w:tc>
          <w:tcPr>
            <w:tcW w:w="1942" w:type="dxa"/>
          </w:tcPr>
          <w:p w14:paraId="6B9C8EBB" w14:textId="1DF8F3B8" w:rsidR="00D518A6" w:rsidRDefault="00D518A6" w:rsidP="008A074C">
            <w:pPr>
              <w:ind w:left="0" w:firstLine="0"/>
              <w:rPr>
                <w:rFonts w:cs="Times New Roman"/>
                <w:szCs w:val="24"/>
              </w:rPr>
            </w:pPr>
            <w:r w:rsidRPr="00BF5625">
              <w:rPr>
                <w:rFonts w:cs="Times New Roman"/>
                <w:szCs w:val="24"/>
              </w:rPr>
              <w:t xml:space="preserve">Retrospective </w:t>
            </w:r>
            <w:r w:rsidRPr="00061300">
              <w:rPr>
                <w:rFonts w:cs="Times New Roman"/>
                <w:szCs w:val="24"/>
              </w:rPr>
              <w:t>cohort study</w:t>
            </w:r>
          </w:p>
        </w:tc>
        <w:tc>
          <w:tcPr>
            <w:tcW w:w="1349" w:type="dxa"/>
          </w:tcPr>
          <w:p w14:paraId="701C8C79" w14:textId="6EBD50DC" w:rsidR="00D518A6" w:rsidRDefault="00D518A6" w:rsidP="008A074C">
            <w:pPr>
              <w:ind w:left="0" w:firstLine="0"/>
              <w:rPr>
                <w:rFonts w:cs="Times New Roman"/>
                <w:szCs w:val="24"/>
              </w:rPr>
            </w:pPr>
            <w:r w:rsidRPr="00BF5625">
              <w:rPr>
                <w:rFonts w:cs="Times New Roman"/>
                <w:szCs w:val="24"/>
              </w:rPr>
              <w:t>2010–2013</w:t>
            </w:r>
          </w:p>
        </w:tc>
        <w:tc>
          <w:tcPr>
            <w:tcW w:w="1050" w:type="dxa"/>
          </w:tcPr>
          <w:p w14:paraId="1D3999ED" w14:textId="61BE34BF" w:rsidR="00D518A6" w:rsidRDefault="00D518A6" w:rsidP="008A074C">
            <w:pPr>
              <w:ind w:left="0" w:firstLine="0"/>
              <w:rPr>
                <w:rFonts w:cs="Times New Roman"/>
                <w:szCs w:val="24"/>
              </w:rPr>
            </w:pPr>
            <w:r w:rsidRPr="00BF5625">
              <w:rPr>
                <w:rFonts w:cs="Times New Roman"/>
                <w:szCs w:val="24"/>
              </w:rPr>
              <w:t>France</w:t>
            </w:r>
          </w:p>
        </w:tc>
        <w:tc>
          <w:tcPr>
            <w:tcW w:w="1553" w:type="dxa"/>
          </w:tcPr>
          <w:p w14:paraId="21374806" w14:textId="0E3AA5F1" w:rsidR="00D518A6" w:rsidRDefault="00D518A6" w:rsidP="008A074C">
            <w:pPr>
              <w:ind w:left="0" w:firstLine="0"/>
              <w:rPr>
                <w:rFonts w:cs="Times New Roman"/>
                <w:szCs w:val="24"/>
              </w:rPr>
            </w:pPr>
            <w:r w:rsidRPr="00BF5625">
              <w:rPr>
                <w:rFonts w:cs="Times New Roman"/>
                <w:szCs w:val="24"/>
              </w:rPr>
              <w:t xml:space="preserve">D (n = 1273) </w:t>
            </w:r>
          </w:p>
        </w:tc>
        <w:tc>
          <w:tcPr>
            <w:tcW w:w="2120" w:type="dxa"/>
          </w:tcPr>
          <w:p w14:paraId="60D2D98E" w14:textId="7AFCC206" w:rsidR="00D518A6" w:rsidRDefault="00D518A6" w:rsidP="008A074C">
            <w:pPr>
              <w:ind w:left="0" w:firstLine="0"/>
              <w:rPr>
                <w:rFonts w:cs="Times New Roman"/>
                <w:szCs w:val="24"/>
              </w:rPr>
            </w:pPr>
            <w:proofErr w:type="spellStart"/>
            <w:r w:rsidRPr="00BF5625">
              <w:rPr>
                <w:rFonts w:cs="Times New Roman"/>
                <w:szCs w:val="24"/>
              </w:rPr>
              <w:t>GnRHa</w:t>
            </w:r>
            <w:proofErr w:type="spellEnd"/>
            <w:r w:rsidRPr="00BF5625">
              <w:rPr>
                <w:rFonts w:cs="Times New Roman"/>
                <w:szCs w:val="24"/>
              </w:rPr>
              <w:t xml:space="preserve"> (n = 24 846)</w:t>
            </w:r>
          </w:p>
        </w:tc>
        <w:tc>
          <w:tcPr>
            <w:tcW w:w="2070" w:type="dxa"/>
          </w:tcPr>
          <w:p w14:paraId="021F1509" w14:textId="77777777" w:rsidR="00D518A6" w:rsidRDefault="00D518A6" w:rsidP="008A074C">
            <w:pPr>
              <w:ind w:left="0" w:firstLine="0"/>
              <w:rPr>
                <w:rFonts w:cs="Times New Roman"/>
                <w:szCs w:val="24"/>
              </w:rPr>
            </w:pPr>
            <w:r w:rsidRPr="00BF5625">
              <w:rPr>
                <w:rFonts w:cs="Times New Roman"/>
                <w:szCs w:val="24"/>
              </w:rPr>
              <w:t xml:space="preserve">D: 74 </w:t>
            </w:r>
          </w:p>
          <w:p w14:paraId="13F11273" w14:textId="0E3AD58C" w:rsidR="00D518A6" w:rsidRDefault="00D518A6" w:rsidP="008A074C">
            <w:pPr>
              <w:ind w:left="0" w:firstLine="0"/>
              <w:rPr>
                <w:rFonts w:cs="Times New Roman"/>
                <w:szCs w:val="24"/>
              </w:rPr>
            </w:pPr>
            <w:proofErr w:type="spellStart"/>
            <w:r w:rsidRPr="00BF5625">
              <w:rPr>
                <w:rFonts w:cs="Times New Roman"/>
                <w:szCs w:val="24"/>
              </w:rPr>
              <w:t>GnRHa</w:t>
            </w:r>
            <w:proofErr w:type="spellEnd"/>
            <w:r w:rsidRPr="00BF5625">
              <w:rPr>
                <w:rFonts w:cs="Times New Roman"/>
                <w:szCs w:val="24"/>
              </w:rPr>
              <w:t>: 75</w:t>
            </w:r>
          </w:p>
        </w:tc>
        <w:tc>
          <w:tcPr>
            <w:tcW w:w="1620" w:type="dxa"/>
          </w:tcPr>
          <w:p w14:paraId="02DA1CBF" w14:textId="77777777" w:rsidR="00D518A6" w:rsidRDefault="00D518A6" w:rsidP="008A074C">
            <w:pPr>
              <w:ind w:left="0" w:firstLine="0"/>
              <w:rPr>
                <w:rFonts w:cs="Times New Roman"/>
                <w:szCs w:val="24"/>
              </w:rPr>
            </w:pPr>
            <w:r w:rsidRPr="00BF5625">
              <w:rPr>
                <w:rFonts w:cs="Times New Roman"/>
                <w:szCs w:val="24"/>
              </w:rPr>
              <w:t xml:space="preserve">D: 0.73 </w:t>
            </w:r>
          </w:p>
          <w:p w14:paraId="3E309A31" w14:textId="2F91AE57" w:rsidR="00D518A6" w:rsidRDefault="00D518A6" w:rsidP="008A074C">
            <w:pPr>
              <w:ind w:left="0" w:firstLine="0"/>
              <w:rPr>
                <w:rFonts w:cs="Times New Roman"/>
                <w:szCs w:val="24"/>
              </w:rPr>
            </w:pPr>
            <w:proofErr w:type="spellStart"/>
            <w:r w:rsidRPr="00BF5625">
              <w:rPr>
                <w:rFonts w:cs="Times New Roman"/>
                <w:szCs w:val="24"/>
              </w:rPr>
              <w:t>GnRHa</w:t>
            </w:r>
            <w:proofErr w:type="spellEnd"/>
            <w:r w:rsidRPr="00BF5625">
              <w:rPr>
                <w:rFonts w:cs="Times New Roman"/>
                <w:szCs w:val="24"/>
              </w:rPr>
              <w:t>: 2.1</w:t>
            </w:r>
          </w:p>
        </w:tc>
        <w:tc>
          <w:tcPr>
            <w:tcW w:w="1620" w:type="dxa"/>
          </w:tcPr>
          <w:p w14:paraId="186C7F90" w14:textId="5B42E2B4" w:rsidR="00D518A6" w:rsidRPr="00BF5625" w:rsidRDefault="00497702" w:rsidP="008A074C">
            <w:pPr>
              <w:ind w:left="0" w:firstLine="0"/>
              <w:rPr>
                <w:rFonts w:cs="Times New Roman"/>
                <w:szCs w:val="24"/>
              </w:rPr>
            </w:pPr>
            <w:r w:rsidRPr="00497702">
              <w:rPr>
                <w:rFonts w:cs="Times New Roman"/>
                <w:szCs w:val="24"/>
              </w:rPr>
              <w:t>Incidence</w:t>
            </w:r>
            <w:r>
              <w:rPr>
                <w:rFonts w:cs="Times New Roman"/>
                <w:szCs w:val="24"/>
              </w:rPr>
              <w:t xml:space="preserve"> </w:t>
            </w:r>
            <w:r w:rsidRPr="00497702">
              <w:rPr>
                <w:rFonts w:cs="Times New Roman"/>
                <w:szCs w:val="24"/>
              </w:rPr>
              <w:t xml:space="preserve">of </w:t>
            </w:r>
            <w:proofErr w:type="spellStart"/>
            <w:r>
              <w:rPr>
                <w:rFonts w:cs="Times New Roman"/>
                <w:szCs w:val="24"/>
              </w:rPr>
              <w:t>ischaemic</w:t>
            </w:r>
            <w:proofErr w:type="spellEnd"/>
            <w:r>
              <w:rPr>
                <w:rFonts w:cs="Times New Roman"/>
                <w:szCs w:val="24"/>
              </w:rPr>
              <w:t xml:space="preserve"> events</w:t>
            </w:r>
          </w:p>
        </w:tc>
      </w:tr>
      <w:tr w:rsidR="00D518A6" w14:paraId="3BCD5E9C" w14:textId="15666B77" w:rsidTr="00C73D1A">
        <w:tc>
          <w:tcPr>
            <w:tcW w:w="1616" w:type="dxa"/>
            <w:vAlign w:val="bottom"/>
          </w:tcPr>
          <w:p w14:paraId="03BB5F91" w14:textId="0817929B" w:rsidR="00D518A6" w:rsidRDefault="00D518A6" w:rsidP="008A074C">
            <w:pPr>
              <w:ind w:left="0" w:firstLine="0"/>
              <w:rPr>
                <w:rFonts w:cs="Times New Roman"/>
                <w:szCs w:val="24"/>
              </w:rPr>
            </w:pPr>
            <w:r>
              <w:rPr>
                <w:rFonts w:ascii="Calibri" w:hAnsi="Calibri" w:cs="Calibri"/>
                <w:sz w:val="22"/>
              </w:rPr>
              <w:t>Shao_2022</w:t>
            </w:r>
            <w:r w:rsidR="008216B0">
              <w:rPr>
                <w:rFonts w:ascii="Calibri" w:hAnsi="Calibri" w:cs="Calibri"/>
                <w:sz w:val="22"/>
              </w:rPr>
              <w:t xml:space="preserve"> </w:t>
            </w:r>
            <w:r w:rsidR="008216B0">
              <w:rPr>
                <w:rFonts w:ascii="Calibri" w:hAnsi="Calibri" w:cs="Calibri"/>
                <w:sz w:val="22"/>
              </w:rPr>
              <w:fldChar w:fldCharType="begin"/>
            </w:r>
            <w:r w:rsidR="008216B0">
              <w:rPr>
                <w:rFonts w:ascii="Calibri" w:hAnsi="Calibri" w:cs="Calibri"/>
                <w:sz w:val="22"/>
              </w:rPr>
              <w:instrText xml:space="preserve"> ADDIN EN.CITE &lt;EndNote&gt;&lt;Cite&gt;&lt;Author&gt;Shao&lt;/Author&gt;&lt;Year&gt;2023&lt;/Year&gt;&lt;RecNum&gt;37&lt;/RecNum&gt;&lt;DisplayText&gt;(27)&lt;/DisplayText&gt;&lt;record&gt;&lt;rec-number&gt;37&lt;/rec-number&gt;&lt;foreign-keys&gt;&lt;key app="EN" db-id="z0wzrepeuvref0et2t05pavhwzav92drt9ww" timestamp="1743578104"&gt;37&lt;/key&gt;&lt;/foreign-keys&gt;&lt;ref-type name="Journal Article"&gt;17&lt;/ref-type&gt;&lt;contributors&gt;&lt;authors&gt;&lt;author&gt;Shao, Yu-Hsuan Joni&lt;/author&gt;&lt;author&gt;Hong, Jian-Hua&lt;/author&gt;&lt;author&gt;Chen, Chun-Kai&lt;/author&gt;&lt;author&gt;Huang, Chao-Yuan&lt;/author&gt;&lt;/authors&gt;&lt;/contributors&gt;&lt;titles&gt;&lt;title&gt;Cardiovascular risk of gonadotropin-releasing hormone antagonist versus agonist in men with prostate cancer: an observational study in Taiwan&lt;/title&gt;&lt;secondary-title&gt;Prostate Cancer and Prostatic Diseases&lt;/secondary-title&gt;&lt;/titles&gt;&lt;periodical&gt;&lt;full-title&gt;Prostate cancer and prostatic diseases&lt;/full-title&gt;&lt;/periodical&gt;&lt;pages&gt;722-729&lt;/pages&gt;&lt;volume&gt;26&lt;/volume&gt;&lt;number&gt;4&lt;/number&gt;&lt;dates&gt;&lt;year&gt;2023&lt;/year&gt;&lt;/dates&gt;&lt;isbn&gt;1365-7852&lt;/isbn&gt;&lt;urls&gt;&lt;/urls&gt;&lt;/record&gt;&lt;/Cite&gt;&lt;/EndNote&gt;</w:instrText>
            </w:r>
            <w:r w:rsidR="008216B0">
              <w:rPr>
                <w:rFonts w:ascii="Calibri" w:hAnsi="Calibri" w:cs="Calibri"/>
                <w:sz w:val="22"/>
              </w:rPr>
              <w:fldChar w:fldCharType="separate"/>
            </w:r>
            <w:r w:rsidR="008216B0">
              <w:rPr>
                <w:rFonts w:ascii="Calibri" w:hAnsi="Calibri" w:cs="Calibri"/>
                <w:noProof/>
                <w:sz w:val="22"/>
              </w:rPr>
              <w:t>(27)</w:t>
            </w:r>
            <w:r w:rsidR="008216B0">
              <w:rPr>
                <w:rFonts w:ascii="Calibri" w:hAnsi="Calibri" w:cs="Calibri"/>
                <w:sz w:val="22"/>
              </w:rPr>
              <w:fldChar w:fldCharType="end"/>
            </w:r>
          </w:p>
        </w:tc>
        <w:tc>
          <w:tcPr>
            <w:tcW w:w="1942" w:type="dxa"/>
          </w:tcPr>
          <w:p w14:paraId="464DFCD7" w14:textId="38FAA1EE" w:rsidR="00D518A6" w:rsidRDefault="00D518A6" w:rsidP="008A074C">
            <w:pPr>
              <w:ind w:left="0" w:firstLine="0"/>
              <w:rPr>
                <w:rFonts w:cs="Times New Roman"/>
                <w:szCs w:val="24"/>
              </w:rPr>
            </w:pPr>
            <w:r w:rsidRPr="00BF5625">
              <w:rPr>
                <w:rFonts w:cs="Times New Roman"/>
                <w:szCs w:val="24"/>
              </w:rPr>
              <w:t xml:space="preserve">Retrospective </w:t>
            </w:r>
            <w:r w:rsidRPr="00061300">
              <w:rPr>
                <w:rFonts w:cs="Times New Roman"/>
                <w:szCs w:val="24"/>
              </w:rPr>
              <w:t>cohort study</w:t>
            </w:r>
          </w:p>
        </w:tc>
        <w:tc>
          <w:tcPr>
            <w:tcW w:w="1349" w:type="dxa"/>
          </w:tcPr>
          <w:p w14:paraId="38E9A2AA" w14:textId="7EB42A3C" w:rsidR="00D518A6" w:rsidRDefault="00D518A6" w:rsidP="008A074C">
            <w:pPr>
              <w:ind w:left="0" w:firstLine="0"/>
              <w:rPr>
                <w:rFonts w:cs="Times New Roman"/>
                <w:szCs w:val="24"/>
              </w:rPr>
            </w:pPr>
            <w:r w:rsidRPr="00BF5625">
              <w:rPr>
                <w:rFonts w:cs="Times New Roman"/>
                <w:szCs w:val="24"/>
              </w:rPr>
              <w:t>2015–2019</w:t>
            </w:r>
          </w:p>
        </w:tc>
        <w:tc>
          <w:tcPr>
            <w:tcW w:w="1050" w:type="dxa"/>
          </w:tcPr>
          <w:p w14:paraId="4493E6DD" w14:textId="3295528A" w:rsidR="00D518A6" w:rsidRDefault="00D518A6" w:rsidP="008A074C">
            <w:pPr>
              <w:ind w:left="0" w:firstLine="0"/>
              <w:rPr>
                <w:rFonts w:cs="Times New Roman"/>
                <w:szCs w:val="24"/>
              </w:rPr>
            </w:pPr>
            <w:r w:rsidRPr="00BF5625">
              <w:rPr>
                <w:rFonts w:cs="Times New Roman"/>
                <w:szCs w:val="24"/>
              </w:rPr>
              <w:t>Taiwan</w:t>
            </w:r>
          </w:p>
        </w:tc>
        <w:tc>
          <w:tcPr>
            <w:tcW w:w="1553" w:type="dxa"/>
          </w:tcPr>
          <w:p w14:paraId="33BF48FF" w14:textId="35ABFAC5" w:rsidR="00D518A6" w:rsidRDefault="00D518A6" w:rsidP="008A074C">
            <w:pPr>
              <w:ind w:left="0" w:firstLine="0"/>
              <w:rPr>
                <w:rFonts w:cs="Times New Roman"/>
                <w:szCs w:val="24"/>
              </w:rPr>
            </w:pPr>
            <w:r w:rsidRPr="00BF5625">
              <w:rPr>
                <w:rFonts w:cs="Times New Roman"/>
                <w:szCs w:val="24"/>
              </w:rPr>
              <w:t xml:space="preserve">D (n = 499) </w:t>
            </w:r>
          </w:p>
        </w:tc>
        <w:tc>
          <w:tcPr>
            <w:tcW w:w="2120" w:type="dxa"/>
          </w:tcPr>
          <w:p w14:paraId="4C601E1A" w14:textId="21C033F5" w:rsidR="00D518A6" w:rsidRDefault="00D518A6" w:rsidP="008A074C">
            <w:pPr>
              <w:ind w:left="0" w:firstLine="0"/>
              <w:rPr>
                <w:rFonts w:cs="Times New Roman"/>
                <w:szCs w:val="24"/>
              </w:rPr>
            </w:pPr>
            <w:proofErr w:type="spellStart"/>
            <w:r w:rsidRPr="00BF5625">
              <w:rPr>
                <w:rFonts w:cs="Times New Roman"/>
                <w:szCs w:val="24"/>
              </w:rPr>
              <w:t>GnRHa</w:t>
            </w:r>
            <w:proofErr w:type="spellEnd"/>
            <w:r w:rsidRPr="00BF5625">
              <w:rPr>
                <w:rFonts w:cs="Times New Roman"/>
                <w:szCs w:val="24"/>
              </w:rPr>
              <w:t xml:space="preserve"> (n = 15 127)</w:t>
            </w:r>
          </w:p>
        </w:tc>
        <w:tc>
          <w:tcPr>
            <w:tcW w:w="2070" w:type="dxa"/>
          </w:tcPr>
          <w:p w14:paraId="1E6F9F84" w14:textId="5DF1DE59" w:rsidR="00D518A6" w:rsidRDefault="00D518A6" w:rsidP="008A074C">
            <w:pPr>
              <w:ind w:left="0" w:firstLine="0"/>
              <w:rPr>
                <w:rFonts w:cs="Times New Roman"/>
                <w:szCs w:val="24"/>
              </w:rPr>
            </w:pPr>
            <w:r w:rsidRPr="00BF5625">
              <w:rPr>
                <w:rFonts w:cs="Times New Roman"/>
                <w:szCs w:val="24"/>
              </w:rPr>
              <w:t xml:space="preserve">D 75: 51.3% </w:t>
            </w:r>
            <w:proofErr w:type="spellStart"/>
            <w:r w:rsidRPr="00BF5625">
              <w:rPr>
                <w:rFonts w:cs="Times New Roman"/>
                <w:szCs w:val="24"/>
              </w:rPr>
              <w:t>GnRHa</w:t>
            </w:r>
            <w:proofErr w:type="spellEnd"/>
            <w:r w:rsidRPr="00BF5625">
              <w:rPr>
                <w:rFonts w:cs="Times New Roman"/>
                <w:szCs w:val="24"/>
              </w:rPr>
              <w:t xml:space="preserve"> 75: 47.6%</w:t>
            </w:r>
          </w:p>
        </w:tc>
        <w:tc>
          <w:tcPr>
            <w:tcW w:w="1620" w:type="dxa"/>
          </w:tcPr>
          <w:p w14:paraId="0DF22CDD" w14:textId="7D9022E6" w:rsidR="00D518A6" w:rsidRDefault="00D518A6" w:rsidP="008A074C">
            <w:pPr>
              <w:ind w:left="0" w:firstLine="0"/>
              <w:rPr>
                <w:rFonts w:cs="Times New Roman"/>
                <w:szCs w:val="24"/>
              </w:rPr>
            </w:pPr>
            <w:r w:rsidRPr="00BF5625">
              <w:rPr>
                <w:rFonts w:cs="Times New Roman"/>
                <w:szCs w:val="24"/>
              </w:rPr>
              <w:t>NR</w:t>
            </w:r>
          </w:p>
        </w:tc>
        <w:tc>
          <w:tcPr>
            <w:tcW w:w="1620" w:type="dxa"/>
          </w:tcPr>
          <w:p w14:paraId="153577E5" w14:textId="470DA237" w:rsidR="00D518A6" w:rsidRPr="00BF5625" w:rsidRDefault="00497702" w:rsidP="008A074C">
            <w:pPr>
              <w:ind w:left="0" w:firstLine="0"/>
              <w:rPr>
                <w:rFonts w:cs="Times New Roman"/>
                <w:szCs w:val="24"/>
              </w:rPr>
            </w:pPr>
            <w:r w:rsidRPr="00497702">
              <w:rPr>
                <w:rFonts w:cs="Times New Roman"/>
                <w:szCs w:val="24"/>
              </w:rPr>
              <w:t>Composite</w:t>
            </w:r>
            <w:r>
              <w:rPr>
                <w:rFonts w:cs="Times New Roman"/>
                <w:szCs w:val="24"/>
              </w:rPr>
              <w:t xml:space="preserve"> </w:t>
            </w:r>
            <w:r w:rsidRPr="00497702">
              <w:rPr>
                <w:rFonts w:cs="Times New Roman"/>
                <w:szCs w:val="24"/>
              </w:rPr>
              <w:t>CV</w:t>
            </w:r>
            <w:r>
              <w:rPr>
                <w:rFonts w:cs="Times New Roman"/>
                <w:szCs w:val="24"/>
              </w:rPr>
              <w:t xml:space="preserve"> </w:t>
            </w:r>
            <w:r w:rsidRPr="00497702">
              <w:rPr>
                <w:rFonts w:cs="Times New Roman"/>
                <w:szCs w:val="24"/>
              </w:rPr>
              <w:t>events</w:t>
            </w:r>
          </w:p>
        </w:tc>
      </w:tr>
      <w:tr w:rsidR="00086EA1" w14:paraId="6B063242" w14:textId="77777777" w:rsidTr="00C73D1A">
        <w:tc>
          <w:tcPr>
            <w:tcW w:w="1616" w:type="dxa"/>
            <w:vAlign w:val="bottom"/>
          </w:tcPr>
          <w:p w14:paraId="4BE8C34F" w14:textId="43054E0D" w:rsidR="00086EA1" w:rsidRDefault="00086EA1" w:rsidP="008A074C">
            <w:pPr>
              <w:ind w:left="0" w:firstLine="0"/>
              <w:rPr>
                <w:rFonts w:ascii="Calibri" w:hAnsi="Calibri" w:cs="Calibri"/>
                <w:sz w:val="22"/>
              </w:rPr>
            </w:pPr>
            <w:r w:rsidRPr="00086EA1">
              <w:rPr>
                <w:rFonts w:ascii="Calibri" w:hAnsi="Calibri" w:cs="Calibri"/>
                <w:sz w:val="22"/>
              </w:rPr>
              <w:t>Wallach_2021</w:t>
            </w:r>
            <w:r w:rsidR="008216B0">
              <w:rPr>
                <w:rFonts w:ascii="Calibri" w:hAnsi="Calibri" w:cs="Calibri"/>
                <w:sz w:val="22"/>
              </w:rPr>
              <w:fldChar w:fldCharType="begin"/>
            </w:r>
            <w:r w:rsidR="008216B0">
              <w:rPr>
                <w:rFonts w:ascii="Calibri" w:hAnsi="Calibri" w:cs="Calibri"/>
                <w:sz w:val="22"/>
              </w:rPr>
              <w:instrText xml:space="preserve"> ADDIN EN.CITE &lt;EndNote&gt;&lt;Cite&gt;&lt;Author&gt;Wallach&lt;/Author&gt;&lt;Year&gt;2021&lt;/Year&gt;&lt;RecNum&gt;38&lt;/RecNum&gt;&lt;DisplayText&gt;(28)&lt;/DisplayText&gt;&lt;record&gt;&lt;rec-number&gt;38&lt;/rec-number&gt;&lt;foreign-keys&gt;&lt;key app="EN" db-id="z0wzrepeuvref0et2t05pavhwzav92drt9ww" timestamp="1743578131"&gt;38&lt;/key&gt;&lt;/foreign-keys&gt;&lt;ref-type name="Journal Article"&gt;17&lt;/ref-type&gt;&lt;contributors&gt;&lt;authors&gt;&lt;author&gt;Wallach, Joshua D&lt;/author&gt;&lt;author&gt;Deng, Yihong&lt;/author&gt;&lt;author&gt;McCoy, Rozalina G&lt;/author&gt;&lt;author&gt;Dhruva, Sanket S&lt;/author&gt;&lt;author&gt;Herrin, Jeph&lt;/author&gt;&lt;author&gt;Berkowitz, Alyssa&lt;/author&gt;&lt;author&gt;Polley, Eric C&lt;/author&gt;&lt;author&gt;Quinto, Kenneth&lt;/author&gt;&lt;author&gt;Gandotra, Charu&lt;/author&gt;&lt;author&gt;Crown, William&lt;/author&gt;&lt;/authors&gt;&lt;/contributors&gt;&lt;titles&gt;&lt;title&gt;Real-world cardiovascular outcomes associated with degarelix vs leuprolide for prostate cancer treatment&lt;/title&gt;&lt;secondary-title&gt;JAMA network open&lt;/secondary-title&gt;&lt;/titles&gt;&lt;periodical&gt;&lt;full-title&gt;JAMA network open&lt;/full-title&gt;&lt;/periodical&gt;&lt;pages&gt;e2130587-e2130587&lt;/pages&gt;&lt;volume&gt;4&lt;/volume&gt;&lt;number&gt;10&lt;/number&gt;&lt;dates&gt;&lt;year&gt;2021&lt;/year&gt;&lt;/dates&gt;&lt;urls&gt;&lt;/urls&gt;&lt;/record&gt;&lt;/Cite&gt;&lt;/EndNote&gt;</w:instrText>
            </w:r>
            <w:r w:rsidR="008216B0">
              <w:rPr>
                <w:rFonts w:ascii="Calibri" w:hAnsi="Calibri" w:cs="Calibri"/>
                <w:sz w:val="22"/>
              </w:rPr>
              <w:fldChar w:fldCharType="separate"/>
            </w:r>
            <w:r w:rsidR="008216B0">
              <w:rPr>
                <w:rFonts w:ascii="Calibri" w:hAnsi="Calibri" w:cs="Calibri"/>
                <w:noProof/>
                <w:sz w:val="22"/>
              </w:rPr>
              <w:t>(28)</w:t>
            </w:r>
            <w:r w:rsidR="008216B0">
              <w:rPr>
                <w:rFonts w:ascii="Calibri" w:hAnsi="Calibri" w:cs="Calibri"/>
                <w:sz w:val="22"/>
              </w:rPr>
              <w:fldChar w:fldCharType="end"/>
            </w:r>
          </w:p>
        </w:tc>
        <w:tc>
          <w:tcPr>
            <w:tcW w:w="1942" w:type="dxa"/>
          </w:tcPr>
          <w:p w14:paraId="3B9991E1" w14:textId="008C56DC" w:rsidR="00086EA1" w:rsidRPr="00BF5625" w:rsidRDefault="00086EA1" w:rsidP="008A074C">
            <w:pPr>
              <w:ind w:left="0" w:firstLine="0"/>
              <w:rPr>
                <w:rFonts w:cs="Times New Roman"/>
                <w:szCs w:val="24"/>
              </w:rPr>
            </w:pPr>
            <w:r w:rsidRPr="00086EA1">
              <w:rPr>
                <w:rFonts w:cs="Times New Roman"/>
                <w:szCs w:val="24"/>
              </w:rPr>
              <w:t>Retrospective</w:t>
            </w:r>
            <w:r w:rsidR="00302AEF">
              <w:rPr>
                <w:rFonts w:cs="Times New Roman"/>
                <w:szCs w:val="24"/>
              </w:rPr>
              <w:t xml:space="preserve"> study</w:t>
            </w:r>
          </w:p>
        </w:tc>
        <w:tc>
          <w:tcPr>
            <w:tcW w:w="1349" w:type="dxa"/>
          </w:tcPr>
          <w:p w14:paraId="0D7E38F6" w14:textId="7BFAA8CC" w:rsidR="00086EA1" w:rsidRPr="00BF5625" w:rsidRDefault="00086EA1" w:rsidP="008A074C">
            <w:pPr>
              <w:ind w:left="0" w:firstLine="0"/>
              <w:rPr>
                <w:rFonts w:cs="Times New Roman"/>
                <w:szCs w:val="24"/>
              </w:rPr>
            </w:pPr>
            <w:r w:rsidRPr="00086EA1">
              <w:rPr>
                <w:rFonts w:cs="Times New Roman"/>
                <w:szCs w:val="24"/>
              </w:rPr>
              <w:t>2008–2019</w:t>
            </w:r>
          </w:p>
        </w:tc>
        <w:tc>
          <w:tcPr>
            <w:tcW w:w="1050" w:type="dxa"/>
          </w:tcPr>
          <w:p w14:paraId="3E5BEF23" w14:textId="1985F5F4" w:rsidR="00086EA1" w:rsidRPr="00BF5625" w:rsidRDefault="00086EA1" w:rsidP="008A074C">
            <w:pPr>
              <w:ind w:left="0" w:firstLine="0"/>
              <w:rPr>
                <w:rFonts w:cs="Times New Roman"/>
                <w:szCs w:val="24"/>
              </w:rPr>
            </w:pPr>
            <w:r w:rsidRPr="00086EA1">
              <w:rPr>
                <w:rFonts w:cs="Times New Roman"/>
                <w:szCs w:val="24"/>
              </w:rPr>
              <w:t>USA</w:t>
            </w:r>
          </w:p>
        </w:tc>
        <w:tc>
          <w:tcPr>
            <w:tcW w:w="1553" w:type="dxa"/>
          </w:tcPr>
          <w:p w14:paraId="67F1ED46" w14:textId="554353F8" w:rsidR="00086EA1" w:rsidRPr="00BF5625" w:rsidRDefault="00086EA1" w:rsidP="008A074C">
            <w:pPr>
              <w:ind w:left="0" w:firstLine="0"/>
              <w:rPr>
                <w:rFonts w:cs="Times New Roman"/>
                <w:szCs w:val="24"/>
              </w:rPr>
            </w:pPr>
            <w:r w:rsidRPr="00086EA1">
              <w:rPr>
                <w:rFonts w:cs="Times New Roman"/>
                <w:szCs w:val="24"/>
              </w:rPr>
              <w:t xml:space="preserve">D (n = 1113) </w:t>
            </w:r>
          </w:p>
        </w:tc>
        <w:tc>
          <w:tcPr>
            <w:tcW w:w="2120" w:type="dxa"/>
          </w:tcPr>
          <w:p w14:paraId="47289548" w14:textId="4F3EA9D1" w:rsidR="00086EA1" w:rsidRPr="00BF5625" w:rsidRDefault="00086EA1" w:rsidP="008A074C">
            <w:pPr>
              <w:ind w:left="0" w:firstLine="0"/>
              <w:rPr>
                <w:rFonts w:cs="Times New Roman"/>
                <w:szCs w:val="24"/>
              </w:rPr>
            </w:pPr>
            <w:r w:rsidRPr="00086EA1">
              <w:rPr>
                <w:rFonts w:cs="Times New Roman"/>
                <w:szCs w:val="24"/>
              </w:rPr>
              <w:t>L (n = 1113</w:t>
            </w:r>
            <w:r>
              <w:rPr>
                <w:rFonts w:cs="Times New Roman"/>
                <w:szCs w:val="24"/>
              </w:rPr>
              <w:t>)</w:t>
            </w:r>
          </w:p>
        </w:tc>
        <w:tc>
          <w:tcPr>
            <w:tcW w:w="2070" w:type="dxa"/>
          </w:tcPr>
          <w:p w14:paraId="58CE6FB7" w14:textId="77777777" w:rsidR="00086EA1" w:rsidRDefault="00086EA1" w:rsidP="008A074C">
            <w:pPr>
              <w:ind w:left="0" w:firstLine="0"/>
              <w:rPr>
                <w:rFonts w:cs="Times New Roman"/>
                <w:szCs w:val="24"/>
              </w:rPr>
            </w:pPr>
            <w:r w:rsidRPr="00086EA1">
              <w:rPr>
                <w:rFonts w:cs="Times New Roman"/>
                <w:szCs w:val="24"/>
              </w:rPr>
              <w:t>D: 75.1</w:t>
            </w:r>
          </w:p>
          <w:p w14:paraId="7AF3D8D9" w14:textId="340FAF8C" w:rsidR="00086EA1" w:rsidRPr="00BF5625" w:rsidRDefault="00086EA1" w:rsidP="008A074C">
            <w:pPr>
              <w:ind w:left="0" w:firstLine="0"/>
              <w:rPr>
                <w:rFonts w:cs="Times New Roman"/>
                <w:szCs w:val="24"/>
              </w:rPr>
            </w:pPr>
            <w:r w:rsidRPr="00086EA1">
              <w:rPr>
                <w:rFonts w:cs="Times New Roman"/>
                <w:szCs w:val="24"/>
              </w:rPr>
              <w:t>L: 75.0</w:t>
            </w:r>
          </w:p>
        </w:tc>
        <w:tc>
          <w:tcPr>
            <w:tcW w:w="1620" w:type="dxa"/>
          </w:tcPr>
          <w:p w14:paraId="77D2FA09" w14:textId="33E757E7" w:rsidR="00086EA1" w:rsidRPr="00BF5625" w:rsidRDefault="00086EA1" w:rsidP="008A074C">
            <w:pPr>
              <w:ind w:left="0" w:firstLine="0"/>
              <w:rPr>
                <w:rFonts w:cs="Times New Roman"/>
                <w:szCs w:val="24"/>
              </w:rPr>
            </w:pPr>
            <w:r w:rsidRPr="00086EA1">
              <w:rPr>
                <w:rFonts w:cs="Times New Roman"/>
                <w:szCs w:val="24"/>
              </w:rPr>
              <w:t>Overall: 0.67</w:t>
            </w:r>
          </w:p>
        </w:tc>
        <w:tc>
          <w:tcPr>
            <w:tcW w:w="1620" w:type="dxa"/>
          </w:tcPr>
          <w:p w14:paraId="73CF1930" w14:textId="691A1795" w:rsidR="00086EA1" w:rsidRPr="00497702" w:rsidRDefault="00086EA1" w:rsidP="008A074C">
            <w:pPr>
              <w:ind w:left="0" w:firstLine="0"/>
              <w:rPr>
                <w:rFonts w:cs="Times New Roman"/>
                <w:szCs w:val="24"/>
              </w:rPr>
            </w:pPr>
            <w:r w:rsidRPr="00D518A6">
              <w:rPr>
                <w:rFonts w:cs="Times New Roman"/>
                <w:szCs w:val="24"/>
              </w:rPr>
              <w:t> MACE</w:t>
            </w:r>
          </w:p>
        </w:tc>
      </w:tr>
    </w:tbl>
    <w:p w14:paraId="49C31B37" w14:textId="546EFA60" w:rsidR="006566E4" w:rsidRDefault="0026232E" w:rsidP="00E2469B">
      <w:pPr>
        <w:jc w:val="both"/>
        <w:rPr>
          <w:rFonts w:cs="Times New Roman"/>
          <w:szCs w:val="24"/>
        </w:rPr>
      </w:pPr>
      <w:r w:rsidRPr="00C73D1A">
        <w:rPr>
          <w:rFonts w:cs="Times New Roman"/>
          <w:b/>
          <w:bCs/>
          <w:szCs w:val="24"/>
        </w:rPr>
        <w:t>Abbreviation:</w:t>
      </w:r>
      <w:r>
        <w:rPr>
          <w:rFonts w:cs="Times New Roman"/>
          <w:szCs w:val="24"/>
        </w:rPr>
        <w:t xml:space="preserve"> </w:t>
      </w:r>
      <w:r w:rsidR="00497702" w:rsidRPr="00497702">
        <w:rPr>
          <w:rFonts w:cs="Times New Roman"/>
          <w:szCs w:val="24"/>
        </w:rPr>
        <w:t>MACE</w:t>
      </w:r>
      <w:r w:rsidR="00497702">
        <w:rPr>
          <w:rFonts w:cs="Times New Roman"/>
          <w:szCs w:val="24"/>
        </w:rPr>
        <w:t xml:space="preserve"> </w:t>
      </w:r>
      <w:r>
        <w:rPr>
          <w:rFonts w:cs="Times New Roman"/>
          <w:szCs w:val="24"/>
        </w:rPr>
        <w:t xml:space="preserve">= </w:t>
      </w:r>
      <w:r w:rsidR="00497702" w:rsidRPr="00497702">
        <w:rPr>
          <w:rFonts w:cs="Times New Roman"/>
          <w:szCs w:val="24"/>
        </w:rPr>
        <w:t>major</w:t>
      </w:r>
      <w:r w:rsidR="00497702">
        <w:rPr>
          <w:rFonts w:cs="Times New Roman"/>
          <w:szCs w:val="24"/>
        </w:rPr>
        <w:t xml:space="preserve"> </w:t>
      </w:r>
      <w:r w:rsidR="00497702" w:rsidRPr="00497702">
        <w:rPr>
          <w:rFonts w:cs="Times New Roman"/>
          <w:szCs w:val="24"/>
        </w:rPr>
        <w:t>adverse</w:t>
      </w:r>
      <w:r w:rsidR="00497702">
        <w:rPr>
          <w:rFonts w:cs="Times New Roman"/>
          <w:szCs w:val="24"/>
        </w:rPr>
        <w:t xml:space="preserve"> </w:t>
      </w:r>
      <w:r w:rsidR="00497702" w:rsidRPr="00497702">
        <w:rPr>
          <w:rFonts w:cs="Times New Roman"/>
          <w:szCs w:val="24"/>
        </w:rPr>
        <w:t>cardiovascular</w:t>
      </w:r>
      <w:r w:rsidR="00497702">
        <w:rPr>
          <w:rFonts w:cs="Times New Roman"/>
          <w:szCs w:val="24"/>
        </w:rPr>
        <w:t xml:space="preserve"> </w:t>
      </w:r>
      <w:r w:rsidR="00497702" w:rsidRPr="00497702">
        <w:rPr>
          <w:rFonts w:cs="Times New Roman"/>
          <w:szCs w:val="24"/>
        </w:rPr>
        <w:t>event (ischemic</w:t>
      </w:r>
      <w:r w:rsidR="00497702">
        <w:rPr>
          <w:rFonts w:cs="Times New Roman"/>
          <w:szCs w:val="24"/>
        </w:rPr>
        <w:t xml:space="preserve"> </w:t>
      </w:r>
      <w:r w:rsidR="00497702" w:rsidRPr="00497702">
        <w:rPr>
          <w:rFonts w:cs="Times New Roman"/>
          <w:szCs w:val="24"/>
        </w:rPr>
        <w:t>heart</w:t>
      </w:r>
      <w:r w:rsidR="00497702">
        <w:rPr>
          <w:rFonts w:cs="Times New Roman"/>
          <w:szCs w:val="24"/>
        </w:rPr>
        <w:t xml:space="preserve"> </w:t>
      </w:r>
      <w:r w:rsidR="00497702" w:rsidRPr="00497702">
        <w:rPr>
          <w:rFonts w:cs="Times New Roman"/>
          <w:szCs w:val="24"/>
        </w:rPr>
        <w:t>disease, stroke,</w:t>
      </w:r>
      <w:r w:rsidR="00497702">
        <w:rPr>
          <w:rFonts w:cs="Times New Roman"/>
          <w:szCs w:val="24"/>
        </w:rPr>
        <w:t xml:space="preserve"> congestive heart</w:t>
      </w:r>
      <w:r w:rsidR="00497702" w:rsidRPr="00497702">
        <w:rPr>
          <w:rFonts w:cs="Times New Roman"/>
          <w:szCs w:val="24"/>
        </w:rPr>
        <w:t xml:space="preserve"> failure</w:t>
      </w:r>
      <w:r w:rsidR="00497702">
        <w:rPr>
          <w:rFonts w:cs="Times New Roman"/>
          <w:szCs w:val="24"/>
        </w:rPr>
        <w:t xml:space="preserve">, </w:t>
      </w:r>
      <w:r w:rsidR="00497702" w:rsidRPr="00497702">
        <w:rPr>
          <w:rFonts w:cs="Times New Roman"/>
          <w:szCs w:val="24"/>
        </w:rPr>
        <w:t>or</w:t>
      </w:r>
      <w:r w:rsidR="00497702">
        <w:rPr>
          <w:rFonts w:cs="Times New Roman"/>
          <w:szCs w:val="24"/>
        </w:rPr>
        <w:t xml:space="preserve"> </w:t>
      </w:r>
      <w:r w:rsidR="00497702" w:rsidRPr="00497702">
        <w:rPr>
          <w:rFonts w:cs="Times New Roman"/>
          <w:szCs w:val="24"/>
        </w:rPr>
        <w:t>all</w:t>
      </w:r>
      <w:r w:rsidR="00497702">
        <w:rPr>
          <w:rFonts w:cs="Times New Roman"/>
          <w:szCs w:val="24"/>
        </w:rPr>
        <w:t xml:space="preserve"> </w:t>
      </w:r>
      <w:r w:rsidR="00497702" w:rsidRPr="00497702">
        <w:rPr>
          <w:rFonts w:cs="Times New Roman"/>
          <w:szCs w:val="24"/>
        </w:rPr>
        <w:t>cause</w:t>
      </w:r>
      <w:r w:rsidR="00497702">
        <w:rPr>
          <w:rFonts w:cs="Times New Roman"/>
          <w:szCs w:val="24"/>
        </w:rPr>
        <w:t xml:space="preserve"> </w:t>
      </w:r>
      <w:r w:rsidR="00497702" w:rsidRPr="00497702">
        <w:rPr>
          <w:rFonts w:cs="Times New Roman"/>
          <w:szCs w:val="24"/>
        </w:rPr>
        <w:t>deaths),</w:t>
      </w:r>
    </w:p>
    <w:p w14:paraId="71C92085" w14:textId="1CEA4616" w:rsidR="00497702" w:rsidRDefault="00497702" w:rsidP="00E2469B">
      <w:pPr>
        <w:jc w:val="both"/>
        <w:rPr>
          <w:rFonts w:cs="Times New Roman"/>
          <w:szCs w:val="24"/>
        </w:rPr>
      </w:pPr>
      <w:r w:rsidRPr="00497702">
        <w:rPr>
          <w:rFonts w:cs="Times New Roman"/>
          <w:szCs w:val="24"/>
        </w:rPr>
        <w:t>Composite</w:t>
      </w:r>
      <w:r>
        <w:rPr>
          <w:rFonts w:cs="Times New Roman"/>
          <w:szCs w:val="24"/>
        </w:rPr>
        <w:t xml:space="preserve"> CV events (ischemic heart disease</w:t>
      </w:r>
      <w:r w:rsidRPr="00497702">
        <w:rPr>
          <w:rFonts w:cs="Times New Roman"/>
          <w:szCs w:val="24"/>
        </w:rPr>
        <w:t xml:space="preserve">, stroke, </w:t>
      </w:r>
      <w:r>
        <w:rPr>
          <w:rFonts w:cs="Times New Roman"/>
          <w:szCs w:val="24"/>
        </w:rPr>
        <w:t>congestive heart</w:t>
      </w:r>
      <w:r w:rsidRPr="00497702">
        <w:rPr>
          <w:rFonts w:cs="Times New Roman"/>
          <w:szCs w:val="24"/>
        </w:rPr>
        <w:t xml:space="preserve"> failure</w:t>
      </w:r>
      <w:r>
        <w:rPr>
          <w:rFonts w:cs="Times New Roman"/>
          <w:szCs w:val="24"/>
        </w:rPr>
        <w:t xml:space="preserve">, </w:t>
      </w:r>
      <w:r w:rsidRPr="00497702">
        <w:rPr>
          <w:rFonts w:cs="Times New Roman"/>
          <w:szCs w:val="24"/>
        </w:rPr>
        <w:t>or</w:t>
      </w:r>
      <w:r>
        <w:rPr>
          <w:rFonts w:cs="Times New Roman"/>
          <w:szCs w:val="24"/>
        </w:rPr>
        <w:t xml:space="preserve"> </w:t>
      </w:r>
      <w:r w:rsidRPr="00497702">
        <w:rPr>
          <w:rFonts w:cs="Times New Roman"/>
          <w:szCs w:val="24"/>
        </w:rPr>
        <w:t>CV</w:t>
      </w:r>
      <w:r>
        <w:rPr>
          <w:rFonts w:cs="Times New Roman"/>
          <w:szCs w:val="24"/>
        </w:rPr>
        <w:t xml:space="preserve"> </w:t>
      </w:r>
      <w:r w:rsidRPr="00497702">
        <w:rPr>
          <w:rFonts w:cs="Times New Roman"/>
          <w:szCs w:val="24"/>
        </w:rPr>
        <w:t>deaths</w:t>
      </w:r>
      <w:r>
        <w:rPr>
          <w:rFonts w:cs="Times New Roman"/>
          <w:szCs w:val="24"/>
        </w:rPr>
        <w:t>)</w:t>
      </w:r>
    </w:p>
    <w:p w14:paraId="2338B042" w14:textId="24324704" w:rsidR="0026232E" w:rsidRDefault="0026232E" w:rsidP="00E2469B">
      <w:pPr>
        <w:jc w:val="both"/>
        <w:rPr>
          <w:rFonts w:cs="Times New Roman"/>
          <w:szCs w:val="24"/>
        </w:rPr>
      </w:pPr>
      <w:r w:rsidRPr="0026232E">
        <w:rPr>
          <w:rFonts w:cs="Times New Roman"/>
          <w:szCs w:val="24"/>
        </w:rPr>
        <w:lastRenderedPageBreak/>
        <w:t xml:space="preserve">D = </w:t>
      </w:r>
      <w:proofErr w:type="spellStart"/>
      <w:r w:rsidRPr="0026232E">
        <w:rPr>
          <w:rFonts w:cs="Times New Roman"/>
          <w:szCs w:val="24"/>
        </w:rPr>
        <w:t>degarelix</w:t>
      </w:r>
      <w:proofErr w:type="spellEnd"/>
      <w:r w:rsidRPr="0026232E">
        <w:rPr>
          <w:rFonts w:cs="Times New Roman"/>
          <w:szCs w:val="24"/>
        </w:rPr>
        <w:t xml:space="preserve">; G = goserelin; </w:t>
      </w:r>
      <w:proofErr w:type="spellStart"/>
      <w:r w:rsidRPr="0026232E">
        <w:rPr>
          <w:rFonts w:cs="Times New Roman"/>
          <w:szCs w:val="24"/>
        </w:rPr>
        <w:t>GnRHa</w:t>
      </w:r>
      <w:proofErr w:type="spellEnd"/>
      <w:r w:rsidRPr="0026232E">
        <w:rPr>
          <w:rFonts w:cs="Times New Roman"/>
          <w:szCs w:val="24"/>
        </w:rPr>
        <w:t xml:space="preserve"> = gonadotropin-releasing hormone agonists; L = leuprolide;</w:t>
      </w:r>
      <w:r>
        <w:rPr>
          <w:rFonts w:cs="Times New Roman"/>
          <w:szCs w:val="24"/>
        </w:rPr>
        <w:t xml:space="preserve"> </w:t>
      </w:r>
      <w:r w:rsidRPr="0026232E">
        <w:rPr>
          <w:rFonts w:cs="Times New Roman"/>
          <w:szCs w:val="24"/>
        </w:rPr>
        <w:t>Tr = triptorelin</w:t>
      </w:r>
    </w:p>
    <w:p w14:paraId="4667A2FB" w14:textId="6385E1E1" w:rsidR="00497702" w:rsidRPr="00497702" w:rsidRDefault="00593E44" w:rsidP="00497702">
      <w:pPr>
        <w:tabs>
          <w:tab w:val="left" w:pos="1870"/>
        </w:tabs>
        <w:rPr>
          <w:rFonts w:cs="Times New Roman"/>
          <w:szCs w:val="24"/>
        </w:rPr>
        <w:sectPr w:rsidR="00497702" w:rsidRPr="00497702" w:rsidSect="00C73D1A">
          <w:pgSz w:w="15840" w:h="12240" w:orient="landscape"/>
          <w:pgMar w:top="1440" w:right="1440" w:bottom="1440" w:left="450" w:header="720" w:footer="720" w:gutter="0"/>
          <w:cols w:space="720"/>
          <w:docGrid w:linePitch="360"/>
        </w:sectPr>
      </w:pPr>
      <w:r w:rsidRPr="00497702">
        <w:rPr>
          <w:rFonts w:cs="Times New Roman"/>
          <w:szCs w:val="24"/>
        </w:rPr>
        <w:t>CVD</w:t>
      </w:r>
      <w:r>
        <w:rPr>
          <w:rFonts w:cs="Times New Roman"/>
          <w:szCs w:val="24"/>
        </w:rPr>
        <w:t xml:space="preserve"> </w:t>
      </w:r>
      <w:proofErr w:type="spellStart"/>
      <w:r w:rsidRPr="00497702">
        <w:rPr>
          <w:rFonts w:cs="Times New Roman"/>
          <w:szCs w:val="24"/>
        </w:rPr>
        <w:t>agg</w:t>
      </w:r>
      <w:proofErr w:type="spellEnd"/>
      <w:r>
        <w:rPr>
          <w:rFonts w:cs="Times New Roman"/>
          <w:szCs w:val="24"/>
        </w:rPr>
        <w:t xml:space="preserve"> = </w:t>
      </w:r>
      <w:r w:rsidRPr="00593E44">
        <w:rPr>
          <w:rFonts w:cs="Times New Roman"/>
          <w:szCs w:val="24"/>
        </w:rPr>
        <w:t>aggregate</w:t>
      </w:r>
      <w:r w:rsidR="00B8578C">
        <w:rPr>
          <w:rFonts w:cs="Times New Roman"/>
          <w:szCs w:val="24"/>
        </w:rPr>
        <w:t xml:space="preserve"> </w:t>
      </w:r>
      <w:r w:rsidRPr="00593E44">
        <w:rPr>
          <w:rFonts w:cs="Times New Roman"/>
          <w:szCs w:val="24"/>
        </w:rPr>
        <w:t>CVD</w:t>
      </w:r>
    </w:p>
    <w:p w14:paraId="3815E2DD" w14:textId="006BCA38" w:rsidR="006566E4" w:rsidRDefault="006566E4" w:rsidP="006566E4">
      <w:pPr>
        <w:jc w:val="both"/>
        <w:rPr>
          <w:rFonts w:cs="Times New Roman"/>
          <w:szCs w:val="24"/>
        </w:rPr>
      </w:pPr>
      <w:r w:rsidRPr="006566E4">
        <w:rPr>
          <w:rFonts w:cs="Times New Roman"/>
          <w:noProof/>
          <w:szCs w:val="24"/>
        </w:rPr>
        <w:lastRenderedPageBreak/>
        <w:drawing>
          <wp:inline distT="0" distB="0" distL="0" distR="0" wp14:anchorId="4AF51AE7" wp14:editId="2ECC948E">
            <wp:extent cx="4149370" cy="3898900"/>
            <wp:effectExtent l="0" t="0" r="3810" b="6350"/>
            <wp:docPr id="13304582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154335" cy="3903566"/>
                    </a:xfrm>
                    <a:prstGeom prst="rect">
                      <a:avLst/>
                    </a:prstGeom>
                    <a:noFill/>
                    <a:ln>
                      <a:noFill/>
                    </a:ln>
                  </pic:spPr>
                </pic:pic>
              </a:graphicData>
            </a:graphic>
          </wp:inline>
        </w:drawing>
      </w:r>
    </w:p>
    <w:p w14:paraId="6C1B5995" w14:textId="724367AD" w:rsidR="003C2D43" w:rsidRPr="003C2D43" w:rsidRDefault="003C2D43" w:rsidP="003C2D43">
      <w:pPr>
        <w:ind w:left="0" w:firstLine="0"/>
        <w:jc w:val="both"/>
        <w:rPr>
          <w:rFonts w:eastAsia="Times New Roman" w:cs="Times New Roman"/>
          <w:bCs/>
          <w:szCs w:val="24"/>
          <w:lang w:eastAsia="en-IN"/>
        </w:rPr>
      </w:pPr>
      <w:r w:rsidRPr="003C2D43">
        <w:rPr>
          <w:rFonts w:eastAsia="Times New Roman" w:cs="Times New Roman"/>
          <w:b/>
          <w:szCs w:val="24"/>
          <w:lang w:eastAsia="en-IN"/>
        </w:rPr>
        <w:t>Figure 1.</w:t>
      </w:r>
      <w:r w:rsidRPr="003C2D43">
        <w:rPr>
          <w:rFonts w:eastAsia="Times New Roman" w:cs="Times New Roman"/>
          <w:bCs/>
          <w:szCs w:val="24"/>
          <w:lang w:eastAsia="en-IN"/>
        </w:rPr>
        <w:t xml:space="preserve"> PRISMA Flowchart of Study Inclusion and Exclusion in the Systematic Review</w:t>
      </w:r>
    </w:p>
    <w:p w14:paraId="1EED56DA" w14:textId="77777777" w:rsidR="003C2D43" w:rsidRDefault="003C2D43">
      <w:pPr>
        <w:spacing w:after="160" w:line="259" w:lineRule="auto"/>
        <w:ind w:left="0" w:firstLine="0"/>
        <w:rPr>
          <w:rFonts w:eastAsia="Times New Roman" w:cs="Times New Roman"/>
          <w:bCs/>
          <w:sz w:val="32"/>
          <w:szCs w:val="32"/>
          <w:lang w:eastAsia="en-IN"/>
        </w:rPr>
      </w:pPr>
      <w:r>
        <w:rPr>
          <w:rFonts w:eastAsia="Times New Roman" w:cs="Times New Roman"/>
          <w:bCs/>
          <w:sz w:val="32"/>
          <w:szCs w:val="32"/>
          <w:lang w:eastAsia="en-IN"/>
        </w:rPr>
        <w:br w:type="page"/>
      </w:r>
    </w:p>
    <w:p w14:paraId="6E87FEB5" w14:textId="42DD4526" w:rsidR="003C2D43" w:rsidRPr="003C2D43" w:rsidRDefault="003C2D43" w:rsidP="003C2D43">
      <w:pPr>
        <w:ind w:left="0" w:firstLine="0"/>
        <w:jc w:val="both"/>
        <w:rPr>
          <w:rFonts w:eastAsia="Times New Roman" w:cs="Times New Roman"/>
          <w:bCs/>
          <w:sz w:val="32"/>
          <w:szCs w:val="32"/>
          <w:lang w:eastAsia="en-IN"/>
        </w:rPr>
      </w:pPr>
      <w:r w:rsidRPr="007E5207">
        <w:rPr>
          <w:rFonts w:cs="Times New Roman"/>
          <w:noProof/>
          <w:szCs w:val="24"/>
        </w:rPr>
        <w:lastRenderedPageBreak/>
        <w:drawing>
          <wp:inline distT="0" distB="0" distL="0" distR="0" wp14:anchorId="3DB29F7E" wp14:editId="0B7837FA">
            <wp:extent cx="5480050" cy="4476429"/>
            <wp:effectExtent l="0" t="0" r="6350" b="635"/>
            <wp:docPr id="5846841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9998" t="16812" r="14984" b="16800"/>
                    <a:stretch/>
                  </pic:blipFill>
                  <pic:spPr bwMode="auto">
                    <a:xfrm>
                      <a:off x="0" y="0"/>
                      <a:ext cx="5545009" cy="4529492"/>
                    </a:xfrm>
                    <a:prstGeom prst="rect">
                      <a:avLst/>
                    </a:prstGeom>
                    <a:noFill/>
                    <a:ln>
                      <a:noFill/>
                    </a:ln>
                    <a:extLst>
                      <a:ext uri="{53640926-AAD7-44D8-BBD7-CCE9431645EC}">
                        <a14:shadowObscured xmlns:a14="http://schemas.microsoft.com/office/drawing/2010/main"/>
                      </a:ext>
                    </a:extLst>
                  </pic:spPr>
                </pic:pic>
              </a:graphicData>
            </a:graphic>
          </wp:inline>
        </w:drawing>
      </w:r>
    </w:p>
    <w:p w14:paraId="2EBCEB1F" w14:textId="77777777" w:rsidR="003C2D43" w:rsidRDefault="003C2D43" w:rsidP="003C2D43">
      <w:pPr>
        <w:ind w:left="630" w:hanging="810"/>
        <w:rPr>
          <w:rFonts w:cs="Times New Roman"/>
          <w:szCs w:val="24"/>
        </w:rPr>
      </w:pPr>
      <w:r w:rsidRPr="003C2D43">
        <w:rPr>
          <w:rFonts w:cs="Times New Roman"/>
          <w:b/>
          <w:szCs w:val="24"/>
        </w:rPr>
        <w:t>Figure 2.</w:t>
      </w:r>
      <w:r w:rsidRPr="003C2D43">
        <w:rPr>
          <w:rFonts w:cs="Times New Roman"/>
          <w:bCs/>
          <w:szCs w:val="24"/>
        </w:rPr>
        <w:t xml:space="preserve"> Schematic Representation of Network Meta-Analysis (NMA) Treatment Comparisons</w:t>
      </w:r>
    </w:p>
    <w:p w14:paraId="07CDFDF3" w14:textId="2094CAFF" w:rsidR="000465E9" w:rsidRPr="006566E4" w:rsidRDefault="000465E9" w:rsidP="003C2D43">
      <w:pPr>
        <w:ind w:left="1170" w:hanging="810"/>
        <w:jc w:val="both"/>
        <w:rPr>
          <w:rFonts w:cs="Times New Roman"/>
          <w:szCs w:val="24"/>
        </w:rPr>
      </w:pPr>
    </w:p>
    <w:p w14:paraId="5E055E37" w14:textId="35F09480" w:rsidR="00B9078B" w:rsidRDefault="00B9078B" w:rsidP="00B9078B">
      <w:pPr>
        <w:jc w:val="both"/>
        <w:rPr>
          <w:rFonts w:cs="Times New Roman"/>
          <w:szCs w:val="24"/>
        </w:rPr>
      </w:pPr>
    </w:p>
    <w:p w14:paraId="22C5FD00" w14:textId="372C8C6D" w:rsidR="003C2D43" w:rsidRPr="003C2D43" w:rsidRDefault="003C2D43" w:rsidP="003C2D43">
      <w:pPr>
        <w:ind w:left="0" w:firstLine="0"/>
        <w:jc w:val="both"/>
        <w:rPr>
          <w:rFonts w:eastAsia="Times New Roman" w:cs="Times New Roman"/>
          <w:bCs/>
          <w:sz w:val="32"/>
          <w:szCs w:val="32"/>
          <w:lang w:eastAsia="en-IN"/>
        </w:rPr>
      </w:pPr>
      <w:r>
        <w:rPr>
          <w:rFonts w:cs="Times New Roman"/>
          <w:szCs w:val="24"/>
        </w:rPr>
        <w:br w:type="page"/>
      </w:r>
    </w:p>
    <w:p w14:paraId="68215FB8" w14:textId="636207CF" w:rsidR="003C2D43" w:rsidRDefault="003C2D43" w:rsidP="003C2D43">
      <w:pPr>
        <w:ind w:left="0" w:firstLine="0"/>
        <w:jc w:val="both"/>
        <w:rPr>
          <w:rFonts w:eastAsia="Times New Roman" w:cs="Times New Roman"/>
          <w:b/>
          <w:sz w:val="32"/>
          <w:szCs w:val="32"/>
          <w:lang w:eastAsia="en-IN"/>
        </w:rPr>
      </w:pPr>
      <w:r w:rsidRPr="00B9078B">
        <w:rPr>
          <w:rFonts w:cs="Times New Roman"/>
          <w:noProof/>
          <w:szCs w:val="24"/>
        </w:rPr>
        <w:lastRenderedPageBreak/>
        <w:drawing>
          <wp:inline distT="0" distB="0" distL="0" distR="0" wp14:anchorId="42D2749A" wp14:editId="470B7C45">
            <wp:extent cx="5572394" cy="2278966"/>
            <wp:effectExtent l="0" t="0" r="0" b="7620"/>
            <wp:docPr id="95887169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87528" cy="2285156"/>
                    </a:xfrm>
                    <a:prstGeom prst="rect">
                      <a:avLst/>
                    </a:prstGeom>
                    <a:noFill/>
                    <a:ln>
                      <a:noFill/>
                    </a:ln>
                  </pic:spPr>
                </pic:pic>
              </a:graphicData>
            </a:graphic>
          </wp:inline>
        </w:drawing>
      </w:r>
    </w:p>
    <w:p w14:paraId="20879BF4" w14:textId="4D94FFAD" w:rsidR="003C2D43" w:rsidRPr="003C2D43" w:rsidRDefault="003C2D43" w:rsidP="003C2D43">
      <w:pPr>
        <w:ind w:left="0" w:firstLine="0"/>
        <w:jc w:val="both"/>
        <w:rPr>
          <w:rFonts w:eastAsia="Times New Roman" w:cs="Times New Roman"/>
          <w:bCs/>
          <w:szCs w:val="24"/>
          <w:lang w:eastAsia="en-IN"/>
        </w:rPr>
      </w:pPr>
      <w:r w:rsidRPr="003C2D43">
        <w:rPr>
          <w:rFonts w:eastAsia="Times New Roman" w:cs="Times New Roman"/>
          <w:b/>
          <w:szCs w:val="24"/>
          <w:lang w:eastAsia="en-IN"/>
        </w:rPr>
        <w:t>Figure 3.</w:t>
      </w:r>
      <w:r w:rsidRPr="003C2D43">
        <w:rPr>
          <w:rFonts w:eastAsia="Times New Roman" w:cs="Times New Roman"/>
          <w:bCs/>
          <w:szCs w:val="24"/>
          <w:lang w:eastAsia="en-IN"/>
        </w:rPr>
        <w:t xml:space="preserve"> Forest Plot Comparing Cardiovascular Risk Outcomes of GnRH Agonists vs. Antagonists in Prostate Cancer Patients</w:t>
      </w:r>
    </w:p>
    <w:p w14:paraId="3A6671F3" w14:textId="048A6891" w:rsidR="003C2D43" w:rsidRDefault="003C2D43">
      <w:pPr>
        <w:spacing w:after="160" w:line="259" w:lineRule="auto"/>
        <w:ind w:left="0" w:firstLine="0"/>
        <w:rPr>
          <w:rFonts w:cs="Times New Roman"/>
          <w:szCs w:val="24"/>
        </w:rPr>
      </w:pPr>
    </w:p>
    <w:p w14:paraId="18662C81" w14:textId="77777777" w:rsidR="003C2D43" w:rsidRPr="00B9078B" w:rsidRDefault="003C2D43" w:rsidP="00B9078B">
      <w:pPr>
        <w:jc w:val="both"/>
        <w:rPr>
          <w:rFonts w:cs="Times New Roman"/>
          <w:szCs w:val="24"/>
        </w:rPr>
      </w:pPr>
    </w:p>
    <w:p w14:paraId="23021E5B" w14:textId="424DF1A3" w:rsidR="000465E9" w:rsidRPr="000465E9" w:rsidRDefault="000465E9" w:rsidP="000465E9">
      <w:pPr>
        <w:jc w:val="both"/>
        <w:rPr>
          <w:rFonts w:cs="Times New Roman"/>
          <w:szCs w:val="24"/>
        </w:rPr>
      </w:pPr>
    </w:p>
    <w:p w14:paraId="014DC0D9" w14:textId="72B7FB1C" w:rsidR="007E5207" w:rsidRPr="007E5207" w:rsidRDefault="007E5207" w:rsidP="007E5207">
      <w:pPr>
        <w:jc w:val="both"/>
        <w:rPr>
          <w:rFonts w:cs="Times New Roman"/>
          <w:szCs w:val="24"/>
        </w:rPr>
      </w:pPr>
    </w:p>
    <w:p w14:paraId="474A7D4A" w14:textId="77777777" w:rsidR="00E7163F" w:rsidRDefault="00E7163F" w:rsidP="00E2469B">
      <w:pPr>
        <w:jc w:val="both"/>
        <w:rPr>
          <w:rFonts w:cs="Times New Roman"/>
          <w:szCs w:val="24"/>
        </w:rPr>
      </w:pPr>
    </w:p>
    <w:p w14:paraId="4B388AEF" w14:textId="41169E83" w:rsidR="00E75E90" w:rsidRDefault="00E75E90">
      <w:pPr>
        <w:spacing w:after="160" w:line="259" w:lineRule="auto"/>
        <w:ind w:left="0" w:firstLine="0"/>
        <w:rPr>
          <w:rFonts w:cs="Times New Roman"/>
          <w:szCs w:val="24"/>
        </w:rPr>
      </w:pPr>
      <w:r>
        <w:rPr>
          <w:rFonts w:cs="Times New Roman"/>
          <w:szCs w:val="24"/>
        </w:rPr>
        <w:br w:type="page"/>
      </w:r>
    </w:p>
    <w:p w14:paraId="6B2A71FC" w14:textId="77777777" w:rsidR="00B9078B" w:rsidRPr="00B9078B" w:rsidRDefault="00B9078B" w:rsidP="00B9078B">
      <w:pPr>
        <w:jc w:val="both"/>
        <w:rPr>
          <w:rFonts w:cs="Times New Roman"/>
          <w:szCs w:val="24"/>
        </w:rPr>
      </w:pPr>
    </w:p>
    <w:p w14:paraId="60DDDBCF" w14:textId="26B86431" w:rsidR="00E75E90" w:rsidRPr="00E75E90" w:rsidRDefault="00E75E90" w:rsidP="00E75E90">
      <w:pPr>
        <w:jc w:val="both"/>
        <w:rPr>
          <w:rFonts w:cs="Times New Roman"/>
          <w:szCs w:val="24"/>
        </w:rPr>
      </w:pPr>
      <w:r w:rsidRPr="00E75E90">
        <w:rPr>
          <w:rFonts w:cs="Times New Roman"/>
          <w:noProof/>
          <w:szCs w:val="24"/>
        </w:rPr>
        <w:drawing>
          <wp:inline distT="0" distB="0" distL="0" distR="0" wp14:anchorId="779316C8" wp14:editId="4C6CDD65">
            <wp:extent cx="3605842" cy="7781407"/>
            <wp:effectExtent l="0" t="0" r="0" b="0"/>
            <wp:docPr id="136011660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7295" t="3484" r="16712" b="4827"/>
                    <a:stretch/>
                  </pic:blipFill>
                  <pic:spPr bwMode="auto">
                    <a:xfrm>
                      <a:off x="0" y="0"/>
                      <a:ext cx="3612493" cy="7795759"/>
                    </a:xfrm>
                    <a:prstGeom prst="rect">
                      <a:avLst/>
                    </a:prstGeom>
                    <a:noFill/>
                    <a:ln>
                      <a:noFill/>
                    </a:ln>
                    <a:extLst>
                      <a:ext uri="{53640926-AAD7-44D8-BBD7-CCE9431645EC}">
                        <a14:shadowObscured xmlns:a14="http://schemas.microsoft.com/office/drawing/2010/main"/>
                      </a:ext>
                    </a:extLst>
                  </pic:spPr>
                </pic:pic>
              </a:graphicData>
            </a:graphic>
          </wp:inline>
        </w:drawing>
      </w:r>
    </w:p>
    <w:p w14:paraId="6891D171" w14:textId="6C54A3A6" w:rsidR="001D585B" w:rsidRPr="00C0359B" w:rsidRDefault="003C2D43" w:rsidP="00C0359B">
      <w:pPr>
        <w:ind w:left="0" w:firstLine="0"/>
        <w:jc w:val="both"/>
        <w:rPr>
          <w:rFonts w:eastAsia="Times New Roman" w:cs="Times New Roman"/>
          <w:bCs/>
          <w:szCs w:val="24"/>
          <w:lang w:eastAsia="en-IN"/>
        </w:rPr>
      </w:pPr>
      <w:r w:rsidRPr="003C2D43">
        <w:rPr>
          <w:rFonts w:eastAsia="Times New Roman" w:cs="Times New Roman"/>
          <w:b/>
          <w:szCs w:val="24"/>
          <w:lang w:eastAsia="en-IN"/>
        </w:rPr>
        <w:t>Figure 4.</w:t>
      </w:r>
      <w:r w:rsidRPr="003C2D43">
        <w:rPr>
          <w:rFonts w:eastAsia="Times New Roman" w:cs="Times New Roman"/>
          <w:bCs/>
          <w:szCs w:val="24"/>
          <w:lang w:eastAsia="en-IN"/>
        </w:rPr>
        <w:t xml:space="preserve"> Node-Split Analysis Forest Plot Evaluating Consistency in Network Meta-Analysis Results</w:t>
      </w:r>
    </w:p>
    <w:p w14:paraId="52E61BCB" w14:textId="02CA7AD7" w:rsidR="00FD60D2" w:rsidRDefault="00FD60D2" w:rsidP="00E2469B">
      <w:pPr>
        <w:jc w:val="both"/>
        <w:rPr>
          <w:rFonts w:cs="Times New Roman"/>
          <w:szCs w:val="24"/>
        </w:rPr>
      </w:pPr>
      <w:r>
        <w:rPr>
          <w:noProof/>
        </w:rPr>
        <w:lastRenderedPageBreak/>
        <w:drawing>
          <wp:inline distT="0" distB="0" distL="0" distR="0" wp14:anchorId="67980CED" wp14:editId="315DC8BE">
            <wp:extent cx="5713643" cy="3802380"/>
            <wp:effectExtent l="0" t="0" r="1905" b="7620"/>
            <wp:docPr id="9201303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5717" cy="3810415"/>
                    </a:xfrm>
                    <a:prstGeom prst="rect">
                      <a:avLst/>
                    </a:prstGeom>
                    <a:noFill/>
                    <a:ln>
                      <a:noFill/>
                    </a:ln>
                  </pic:spPr>
                </pic:pic>
              </a:graphicData>
            </a:graphic>
          </wp:inline>
        </w:drawing>
      </w:r>
    </w:p>
    <w:p w14:paraId="767E4884" w14:textId="77777777" w:rsidR="003C2D43" w:rsidRPr="003C2D43" w:rsidRDefault="003C2D43" w:rsidP="003C2D43">
      <w:pPr>
        <w:ind w:left="0" w:firstLine="0"/>
        <w:jc w:val="both"/>
        <w:rPr>
          <w:rFonts w:eastAsia="Times New Roman" w:cs="Times New Roman"/>
          <w:bCs/>
          <w:szCs w:val="24"/>
          <w:lang w:eastAsia="en-IN"/>
        </w:rPr>
      </w:pPr>
      <w:r w:rsidRPr="003C2D43">
        <w:rPr>
          <w:rFonts w:eastAsia="Times New Roman" w:cs="Times New Roman"/>
          <w:b/>
          <w:szCs w:val="24"/>
          <w:lang w:eastAsia="en-IN"/>
        </w:rPr>
        <w:t>Figure 5.</w:t>
      </w:r>
      <w:r w:rsidRPr="003C2D43">
        <w:rPr>
          <w:rFonts w:eastAsia="Times New Roman" w:cs="Times New Roman"/>
          <w:bCs/>
          <w:szCs w:val="24"/>
          <w:lang w:eastAsia="en-IN"/>
        </w:rPr>
        <w:t xml:space="preserve"> Funnel Plot Assessing Publication Bias Across Included Studies in the Meta-Analysis</w:t>
      </w:r>
    </w:p>
    <w:p w14:paraId="61055198" w14:textId="77777777" w:rsidR="00A72A43" w:rsidRDefault="00A72A43" w:rsidP="00E2469B">
      <w:pPr>
        <w:jc w:val="both"/>
        <w:rPr>
          <w:rFonts w:cs="Times New Roman"/>
          <w:szCs w:val="24"/>
        </w:rPr>
      </w:pPr>
    </w:p>
    <w:p w14:paraId="4F04ABE4" w14:textId="77777777" w:rsidR="00A72A43" w:rsidRDefault="00A72A43" w:rsidP="00E2469B">
      <w:pPr>
        <w:jc w:val="both"/>
        <w:rPr>
          <w:rFonts w:cs="Times New Roman"/>
          <w:szCs w:val="24"/>
        </w:rPr>
      </w:pPr>
    </w:p>
    <w:p w14:paraId="2ACC30F1" w14:textId="544012D0" w:rsidR="003C2D43" w:rsidRDefault="003C2D43" w:rsidP="00E2469B">
      <w:pPr>
        <w:jc w:val="both"/>
        <w:rPr>
          <w:rFonts w:cs="Times New Roman"/>
          <w:szCs w:val="24"/>
        </w:rPr>
      </w:pPr>
    </w:p>
    <w:sectPr w:rsidR="003C2D43" w:rsidSect="00C73D1A">
      <w:pgSz w:w="12240" w:h="15840"/>
      <w:pgMar w:top="1440" w:right="1440" w:bottom="144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0wzrepeuvref0et2t05pavhwzav92drt9ww&quot;&gt;My EndNote Library&lt;record-ids&gt;&lt;item&gt;1&lt;/item&gt;&lt;item&gt;2&lt;/item&gt;&lt;item&gt;4&lt;/item&gt;&lt;item&gt;5&lt;/item&gt;&lt;item&gt;6&lt;/item&gt;&lt;item&gt;7&lt;/item&gt;&lt;item&gt;8&lt;/item&gt;&lt;item&gt;9&lt;/item&gt;&lt;item&gt;10&lt;/item&gt;&lt;item&gt;11&lt;/item&gt;&lt;item&gt;12&lt;/item&gt;&lt;item&gt;13&lt;/item&gt;&lt;item&gt;14&lt;/item&gt;&lt;item&gt;15&lt;/item&gt;&lt;item&gt;16&lt;/item&gt;&lt;item&gt;26&lt;/item&gt;&lt;item&gt;27&lt;/item&gt;&lt;item&gt;28&lt;/item&gt;&lt;item&gt;29&lt;/item&gt;&lt;item&gt;30&lt;/item&gt;&lt;item&gt;31&lt;/item&gt;&lt;item&gt;32&lt;/item&gt;&lt;item&gt;33&lt;/item&gt;&lt;item&gt;34&lt;/item&gt;&lt;item&gt;35&lt;/item&gt;&lt;item&gt;36&lt;/item&gt;&lt;item&gt;37&lt;/item&gt;&lt;item&gt;38&lt;/item&gt;&lt;/record-ids&gt;&lt;/item&gt;&lt;/Libraries&gt;"/>
  </w:docVars>
  <w:rsids>
    <w:rsidRoot w:val="005310F1"/>
    <w:rsid w:val="000465E9"/>
    <w:rsid w:val="00061300"/>
    <w:rsid w:val="00086EA1"/>
    <w:rsid w:val="000A33A6"/>
    <w:rsid w:val="001628DF"/>
    <w:rsid w:val="00165BFF"/>
    <w:rsid w:val="00165CB6"/>
    <w:rsid w:val="001B1AB7"/>
    <w:rsid w:val="001D585B"/>
    <w:rsid w:val="001E33A7"/>
    <w:rsid w:val="001E5577"/>
    <w:rsid w:val="001F22E3"/>
    <w:rsid w:val="00232806"/>
    <w:rsid w:val="00237E99"/>
    <w:rsid w:val="002519F1"/>
    <w:rsid w:val="0026232E"/>
    <w:rsid w:val="00274E4F"/>
    <w:rsid w:val="002A2147"/>
    <w:rsid w:val="002D4629"/>
    <w:rsid w:val="002D4690"/>
    <w:rsid w:val="00302AEF"/>
    <w:rsid w:val="00307E3E"/>
    <w:rsid w:val="003223F9"/>
    <w:rsid w:val="00326391"/>
    <w:rsid w:val="003408C0"/>
    <w:rsid w:val="003C2D43"/>
    <w:rsid w:val="003E2FD7"/>
    <w:rsid w:val="0041606C"/>
    <w:rsid w:val="0047175C"/>
    <w:rsid w:val="0048022F"/>
    <w:rsid w:val="00497702"/>
    <w:rsid w:val="004E265A"/>
    <w:rsid w:val="00525768"/>
    <w:rsid w:val="005310F1"/>
    <w:rsid w:val="005352D1"/>
    <w:rsid w:val="0053685E"/>
    <w:rsid w:val="00557834"/>
    <w:rsid w:val="00562672"/>
    <w:rsid w:val="00570311"/>
    <w:rsid w:val="00590F36"/>
    <w:rsid w:val="00593E44"/>
    <w:rsid w:val="005A4B76"/>
    <w:rsid w:val="005A6B00"/>
    <w:rsid w:val="005B0AAE"/>
    <w:rsid w:val="005E4061"/>
    <w:rsid w:val="00610820"/>
    <w:rsid w:val="006257D2"/>
    <w:rsid w:val="006566E4"/>
    <w:rsid w:val="00666ABC"/>
    <w:rsid w:val="0068108E"/>
    <w:rsid w:val="00684983"/>
    <w:rsid w:val="00691E95"/>
    <w:rsid w:val="006B61F9"/>
    <w:rsid w:val="00720DF3"/>
    <w:rsid w:val="00767996"/>
    <w:rsid w:val="00772120"/>
    <w:rsid w:val="00782BAB"/>
    <w:rsid w:val="007969D1"/>
    <w:rsid w:val="007E5207"/>
    <w:rsid w:val="008216B0"/>
    <w:rsid w:val="00833F6A"/>
    <w:rsid w:val="008362CA"/>
    <w:rsid w:val="008706D2"/>
    <w:rsid w:val="0089409C"/>
    <w:rsid w:val="00897B41"/>
    <w:rsid w:val="008A074C"/>
    <w:rsid w:val="008B4701"/>
    <w:rsid w:val="008C722D"/>
    <w:rsid w:val="008D0151"/>
    <w:rsid w:val="008D29A0"/>
    <w:rsid w:val="008E0F2A"/>
    <w:rsid w:val="00906B8C"/>
    <w:rsid w:val="0093539F"/>
    <w:rsid w:val="0097768D"/>
    <w:rsid w:val="00986E87"/>
    <w:rsid w:val="00991488"/>
    <w:rsid w:val="009A45D0"/>
    <w:rsid w:val="009E11FE"/>
    <w:rsid w:val="009E1B93"/>
    <w:rsid w:val="00A15988"/>
    <w:rsid w:val="00A312B5"/>
    <w:rsid w:val="00A37619"/>
    <w:rsid w:val="00A4532B"/>
    <w:rsid w:val="00A61775"/>
    <w:rsid w:val="00A72A43"/>
    <w:rsid w:val="00A76A26"/>
    <w:rsid w:val="00A92FB8"/>
    <w:rsid w:val="00AA09FF"/>
    <w:rsid w:val="00AC50F4"/>
    <w:rsid w:val="00AD1943"/>
    <w:rsid w:val="00B0744E"/>
    <w:rsid w:val="00B23A9A"/>
    <w:rsid w:val="00B32FEE"/>
    <w:rsid w:val="00B60A38"/>
    <w:rsid w:val="00B8578C"/>
    <w:rsid w:val="00B9078B"/>
    <w:rsid w:val="00BF5625"/>
    <w:rsid w:val="00C0359B"/>
    <w:rsid w:val="00C2001A"/>
    <w:rsid w:val="00C54F2A"/>
    <w:rsid w:val="00C55ACE"/>
    <w:rsid w:val="00C63854"/>
    <w:rsid w:val="00C73D1A"/>
    <w:rsid w:val="00C7493B"/>
    <w:rsid w:val="00C952E3"/>
    <w:rsid w:val="00CF2D22"/>
    <w:rsid w:val="00D100CF"/>
    <w:rsid w:val="00D14881"/>
    <w:rsid w:val="00D1760D"/>
    <w:rsid w:val="00D33ED3"/>
    <w:rsid w:val="00D3654F"/>
    <w:rsid w:val="00D518A6"/>
    <w:rsid w:val="00D5206D"/>
    <w:rsid w:val="00D63FA7"/>
    <w:rsid w:val="00DC3511"/>
    <w:rsid w:val="00DE56AC"/>
    <w:rsid w:val="00E04ABD"/>
    <w:rsid w:val="00E1749B"/>
    <w:rsid w:val="00E2469B"/>
    <w:rsid w:val="00E51EAF"/>
    <w:rsid w:val="00E7163F"/>
    <w:rsid w:val="00E75E90"/>
    <w:rsid w:val="00E86BA2"/>
    <w:rsid w:val="00EF7CF7"/>
    <w:rsid w:val="00F46118"/>
    <w:rsid w:val="00F85417"/>
    <w:rsid w:val="00F92B55"/>
    <w:rsid w:val="00FA3237"/>
    <w:rsid w:val="00FA6922"/>
    <w:rsid w:val="00FD60D2"/>
    <w:rsid w:val="00FE7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63AE79"/>
  <w15:chartTrackingRefBased/>
  <w15:docId w15:val="{18EB68EB-A660-4972-BF37-9CD85DCFE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2B5"/>
    <w:pPr>
      <w:spacing w:after="23" w:line="267" w:lineRule="auto"/>
      <w:ind w:left="1208" w:hanging="10"/>
    </w:pPr>
    <w:rPr>
      <w:rFonts w:ascii="Times New Roman" w:hAnsi="Times New Roman"/>
      <w:color w:val="000000"/>
      <w:kern w:val="0"/>
      <w:sz w:val="24"/>
      <w14:ligatures w14:val="none"/>
    </w:rPr>
  </w:style>
  <w:style w:type="paragraph" w:styleId="Heading1">
    <w:name w:val="heading 1"/>
    <w:next w:val="Normal"/>
    <w:link w:val="Heading1Char"/>
    <w:uiPriority w:val="9"/>
    <w:qFormat/>
    <w:rsid w:val="00307E3E"/>
    <w:pPr>
      <w:keepNext/>
      <w:keepLines/>
      <w:spacing w:after="19"/>
      <w:ind w:left="857" w:hanging="10"/>
      <w:outlineLvl w:val="0"/>
    </w:pPr>
    <w:rPr>
      <w:rFonts w:ascii="Times New Roman" w:eastAsia="Times New Roman" w:hAnsi="Times New Roman" w:cs="Times New Roman"/>
      <w:b/>
      <w:color w:val="000000"/>
      <w:sz w:val="24"/>
    </w:rPr>
  </w:style>
  <w:style w:type="paragraph" w:styleId="Heading2">
    <w:name w:val="heading 2"/>
    <w:basedOn w:val="Normal"/>
    <w:next w:val="Normal"/>
    <w:link w:val="Heading2Char"/>
    <w:uiPriority w:val="9"/>
    <w:unhideWhenUsed/>
    <w:qFormat/>
    <w:rsid w:val="005310F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310F1"/>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310F1"/>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310F1"/>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5310F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310F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310F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310F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07E3E"/>
    <w:rPr>
      <w:rFonts w:ascii="Times New Roman" w:eastAsia="Times New Roman" w:hAnsi="Times New Roman" w:cs="Times New Roman"/>
      <w:b/>
      <w:color w:val="000000"/>
      <w:sz w:val="24"/>
    </w:rPr>
  </w:style>
  <w:style w:type="character" w:customStyle="1" w:styleId="Heading2Char">
    <w:name w:val="Heading 2 Char"/>
    <w:basedOn w:val="DefaultParagraphFont"/>
    <w:link w:val="Heading2"/>
    <w:uiPriority w:val="9"/>
    <w:rsid w:val="005310F1"/>
    <w:rPr>
      <w:rFonts w:asciiTheme="majorHAnsi" w:eastAsiaTheme="majorEastAsia" w:hAnsiTheme="majorHAnsi" w:cstheme="majorBidi"/>
      <w:color w:val="2F5496" w:themeColor="accent1" w:themeShade="BF"/>
      <w:kern w:val="0"/>
      <w:sz w:val="32"/>
      <w:szCs w:val="32"/>
      <w14:ligatures w14:val="none"/>
    </w:rPr>
  </w:style>
  <w:style w:type="character" w:customStyle="1" w:styleId="Heading3Char">
    <w:name w:val="Heading 3 Char"/>
    <w:basedOn w:val="DefaultParagraphFont"/>
    <w:link w:val="Heading3"/>
    <w:uiPriority w:val="9"/>
    <w:semiHidden/>
    <w:rsid w:val="005310F1"/>
    <w:rPr>
      <w:rFonts w:eastAsiaTheme="majorEastAsia" w:cstheme="majorBidi"/>
      <w:color w:val="2F5496"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5310F1"/>
    <w:rPr>
      <w:rFonts w:eastAsiaTheme="majorEastAsia" w:cstheme="majorBidi"/>
      <w:i/>
      <w:iCs/>
      <w:color w:val="2F5496" w:themeColor="accent1" w:themeShade="BF"/>
      <w:kern w:val="0"/>
      <w:sz w:val="24"/>
      <w14:ligatures w14:val="none"/>
    </w:rPr>
  </w:style>
  <w:style w:type="character" w:customStyle="1" w:styleId="Heading5Char">
    <w:name w:val="Heading 5 Char"/>
    <w:basedOn w:val="DefaultParagraphFont"/>
    <w:link w:val="Heading5"/>
    <w:uiPriority w:val="9"/>
    <w:semiHidden/>
    <w:rsid w:val="005310F1"/>
    <w:rPr>
      <w:rFonts w:eastAsiaTheme="majorEastAsia" w:cstheme="majorBidi"/>
      <w:color w:val="2F5496" w:themeColor="accent1" w:themeShade="BF"/>
      <w:kern w:val="0"/>
      <w:sz w:val="24"/>
      <w14:ligatures w14:val="none"/>
    </w:rPr>
  </w:style>
  <w:style w:type="character" w:customStyle="1" w:styleId="Heading6Char">
    <w:name w:val="Heading 6 Char"/>
    <w:basedOn w:val="DefaultParagraphFont"/>
    <w:link w:val="Heading6"/>
    <w:uiPriority w:val="9"/>
    <w:semiHidden/>
    <w:rsid w:val="005310F1"/>
    <w:rPr>
      <w:rFonts w:eastAsiaTheme="majorEastAsia" w:cstheme="majorBidi"/>
      <w:i/>
      <w:iCs/>
      <w:color w:val="595959" w:themeColor="text1" w:themeTint="A6"/>
      <w:kern w:val="0"/>
      <w:sz w:val="24"/>
      <w14:ligatures w14:val="none"/>
    </w:rPr>
  </w:style>
  <w:style w:type="character" w:customStyle="1" w:styleId="Heading7Char">
    <w:name w:val="Heading 7 Char"/>
    <w:basedOn w:val="DefaultParagraphFont"/>
    <w:link w:val="Heading7"/>
    <w:uiPriority w:val="9"/>
    <w:semiHidden/>
    <w:rsid w:val="005310F1"/>
    <w:rPr>
      <w:rFonts w:eastAsiaTheme="majorEastAsia" w:cstheme="majorBidi"/>
      <w:color w:val="595959" w:themeColor="text1" w:themeTint="A6"/>
      <w:kern w:val="0"/>
      <w:sz w:val="24"/>
      <w14:ligatures w14:val="none"/>
    </w:rPr>
  </w:style>
  <w:style w:type="character" w:customStyle="1" w:styleId="Heading8Char">
    <w:name w:val="Heading 8 Char"/>
    <w:basedOn w:val="DefaultParagraphFont"/>
    <w:link w:val="Heading8"/>
    <w:uiPriority w:val="9"/>
    <w:semiHidden/>
    <w:rsid w:val="005310F1"/>
    <w:rPr>
      <w:rFonts w:eastAsiaTheme="majorEastAsia" w:cstheme="majorBidi"/>
      <w:i/>
      <w:iCs/>
      <w:color w:val="272727" w:themeColor="text1" w:themeTint="D8"/>
      <w:kern w:val="0"/>
      <w:sz w:val="24"/>
      <w14:ligatures w14:val="none"/>
    </w:rPr>
  </w:style>
  <w:style w:type="character" w:customStyle="1" w:styleId="Heading9Char">
    <w:name w:val="Heading 9 Char"/>
    <w:basedOn w:val="DefaultParagraphFont"/>
    <w:link w:val="Heading9"/>
    <w:uiPriority w:val="9"/>
    <w:semiHidden/>
    <w:rsid w:val="005310F1"/>
    <w:rPr>
      <w:rFonts w:eastAsiaTheme="majorEastAsia" w:cstheme="majorBidi"/>
      <w:color w:val="272727" w:themeColor="text1" w:themeTint="D8"/>
      <w:kern w:val="0"/>
      <w:sz w:val="24"/>
      <w14:ligatures w14:val="none"/>
    </w:rPr>
  </w:style>
  <w:style w:type="paragraph" w:styleId="Title">
    <w:name w:val="Title"/>
    <w:basedOn w:val="Normal"/>
    <w:next w:val="Normal"/>
    <w:link w:val="TitleChar"/>
    <w:uiPriority w:val="10"/>
    <w:qFormat/>
    <w:rsid w:val="005310F1"/>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5310F1"/>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5310F1"/>
    <w:pPr>
      <w:numPr>
        <w:ilvl w:val="1"/>
      </w:numPr>
      <w:spacing w:after="160"/>
      <w:ind w:left="1208" w:hanging="1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10F1"/>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5310F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310F1"/>
    <w:rPr>
      <w:rFonts w:ascii="Times New Roman" w:hAnsi="Times New Roman"/>
      <w:i/>
      <w:iCs/>
      <w:color w:val="404040" w:themeColor="text1" w:themeTint="BF"/>
      <w:kern w:val="0"/>
      <w:sz w:val="24"/>
      <w14:ligatures w14:val="none"/>
    </w:rPr>
  </w:style>
  <w:style w:type="paragraph" w:styleId="ListParagraph">
    <w:name w:val="List Paragraph"/>
    <w:basedOn w:val="Normal"/>
    <w:uiPriority w:val="34"/>
    <w:qFormat/>
    <w:rsid w:val="005310F1"/>
    <w:pPr>
      <w:ind w:left="720"/>
      <w:contextualSpacing/>
    </w:pPr>
  </w:style>
  <w:style w:type="character" w:styleId="IntenseEmphasis">
    <w:name w:val="Intense Emphasis"/>
    <w:basedOn w:val="DefaultParagraphFont"/>
    <w:uiPriority w:val="21"/>
    <w:qFormat/>
    <w:rsid w:val="005310F1"/>
    <w:rPr>
      <w:i/>
      <w:iCs/>
      <w:color w:val="2F5496" w:themeColor="accent1" w:themeShade="BF"/>
    </w:rPr>
  </w:style>
  <w:style w:type="paragraph" w:styleId="IntenseQuote">
    <w:name w:val="Intense Quote"/>
    <w:basedOn w:val="Normal"/>
    <w:next w:val="Normal"/>
    <w:link w:val="IntenseQuoteChar"/>
    <w:uiPriority w:val="30"/>
    <w:qFormat/>
    <w:rsid w:val="005310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310F1"/>
    <w:rPr>
      <w:rFonts w:ascii="Times New Roman" w:hAnsi="Times New Roman"/>
      <w:i/>
      <w:iCs/>
      <w:color w:val="2F5496" w:themeColor="accent1" w:themeShade="BF"/>
      <w:kern w:val="0"/>
      <w:sz w:val="24"/>
      <w14:ligatures w14:val="none"/>
    </w:rPr>
  </w:style>
  <w:style w:type="character" w:styleId="IntenseReference">
    <w:name w:val="Intense Reference"/>
    <w:basedOn w:val="DefaultParagraphFont"/>
    <w:uiPriority w:val="32"/>
    <w:qFormat/>
    <w:rsid w:val="005310F1"/>
    <w:rPr>
      <w:b/>
      <w:bCs/>
      <w:smallCaps/>
      <w:color w:val="2F5496" w:themeColor="accent1" w:themeShade="BF"/>
      <w:spacing w:val="5"/>
    </w:rPr>
  </w:style>
  <w:style w:type="table" w:styleId="TableGrid">
    <w:name w:val="Table Grid"/>
    <w:basedOn w:val="TableNormal"/>
    <w:uiPriority w:val="39"/>
    <w:rsid w:val="00E716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7493B"/>
    <w:pPr>
      <w:spacing w:before="100" w:beforeAutospacing="1" w:after="100" w:afterAutospacing="1" w:line="240" w:lineRule="auto"/>
      <w:ind w:left="0" w:firstLine="0"/>
    </w:pPr>
    <w:rPr>
      <w:rFonts w:eastAsia="Times New Roman" w:cs="Times New Roman"/>
      <w:color w:val="auto"/>
      <w:szCs w:val="24"/>
      <w:lang w:eastAsia="en-IN"/>
    </w:rPr>
  </w:style>
  <w:style w:type="character" w:styleId="Strong">
    <w:name w:val="Strong"/>
    <w:basedOn w:val="DefaultParagraphFont"/>
    <w:uiPriority w:val="22"/>
    <w:qFormat/>
    <w:rsid w:val="003C2D43"/>
    <w:rPr>
      <w:b/>
      <w:bCs/>
    </w:rPr>
  </w:style>
  <w:style w:type="paragraph" w:customStyle="1" w:styleId="EndNoteBibliographyTitle">
    <w:name w:val="EndNote Bibliography Title"/>
    <w:basedOn w:val="Normal"/>
    <w:link w:val="EndNoteBibliographyTitleChar"/>
    <w:rsid w:val="00A72A43"/>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A72A43"/>
    <w:rPr>
      <w:rFonts w:ascii="Times New Roman" w:hAnsi="Times New Roman" w:cs="Times New Roman"/>
      <w:noProof/>
      <w:color w:val="000000"/>
      <w:kern w:val="0"/>
      <w:sz w:val="24"/>
      <w14:ligatures w14:val="none"/>
    </w:rPr>
  </w:style>
  <w:style w:type="paragraph" w:customStyle="1" w:styleId="EndNoteBibliography">
    <w:name w:val="EndNote Bibliography"/>
    <w:basedOn w:val="Normal"/>
    <w:link w:val="EndNoteBibliographyChar"/>
    <w:rsid w:val="00A72A43"/>
    <w:pPr>
      <w:spacing w:line="240" w:lineRule="auto"/>
      <w:jc w:val="both"/>
    </w:pPr>
    <w:rPr>
      <w:rFonts w:cs="Times New Roman"/>
      <w:noProof/>
    </w:rPr>
  </w:style>
  <w:style w:type="character" w:customStyle="1" w:styleId="EndNoteBibliographyChar">
    <w:name w:val="EndNote Bibliography Char"/>
    <w:basedOn w:val="DefaultParagraphFont"/>
    <w:link w:val="EndNoteBibliography"/>
    <w:rsid w:val="00A72A43"/>
    <w:rPr>
      <w:rFonts w:ascii="Times New Roman" w:hAnsi="Times New Roman" w:cs="Times New Roman"/>
      <w:noProof/>
      <w:color w:val="000000"/>
      <w:kern w:val="0"/>
      <w:sz w:val="24"/>
      <w14:ligatures w14:val="none"/>
    </w:rPr>
  </w:style>
  <w:style w:type="paragraph" w:customStyle="1" w:styleId="break-words">
    <w:name w:val="break-words"/>
    <w:basedOn w:val="Normal"/>
    <w:rsid w:val="008362CA"/>
    <w:pPr>
      <w:spacing w:before="100" w:beforeAutospacing="1" w:after="100" w:afterAutospacing="1" w:line="240" w:lineRule="auto"/>
      <w:ind w:left="0" w:firstLine="0"/>
    </w:pPr>
    <w:rPr>
      <w:rFonts w:eastAsia="Times New Roman"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582410">
      <w:bodyDiv w:val="1"/>
      <w:marLeft w:val="0"/>
      <w:marRight w:val="0"/>
      <w:marTop w:val="0"/>
      <w:marBottom w:val="0"/>
      <w:divBdr>
        <w:top w:val="none" w:sz="0" w:space="0" w:color="auto"/>
        <w:left w:val="none" w:sz="0" w:space="0" w:color="auto"/>
        <w:bottom w:val="none" w:sz="0" w:space="0" w:color="auto"/>
        <w:right w:val="none" w:sz="0" w:space="0" w:color="auto"/>
      </w:divBdr>
    </w:div>
    <w:div w:id="84543761">
      <w:bodyDiv w:val="1"/>
      <w:marLeft w:val="0"/>
      <w:marRight w:val="0"/>
      <w:marTop w:val="0"/>
      <w:marBottom w:val="0"/>
      <w:divBdr>
        <w:top w:val="none" w:sz="0" w:space="0" w:color="auto"/>
        <w:left w:val="none" w:sz="0" w:space="0" w:color="auto"/>
        <w:bottom w:val="none" w:sz="0" w:space="0" w:color="auto"/>
        <w:right w:val="none" w:sz="0" w:space="0" w:color="auto"/>
      </w:divBdr>
    </w:div>
    <w:div w:id="141819948">
      <w:bodyDiv w:val="1"/>
      <w:marLeft w:val="0"/>
      <w:marRight w:val="0"/>
      <w:marTop w:val="0"/>
      <w:marBottom w:val="0"/>
      <w:divBdr>
        <w:top w:val="none" w:sz="0" w:space="0" w:color="auto"/>
        <w:left w:val="none" w:sz="0" w:space="0" w:color="auto"/>
        <w:bottom w:val="none" w:sz="0" w:space="0" w:color="auto"/>
        <w:right w:val="none" w:sz="0" w:space="0" w:color="auto"/>
      </w:divBdr>
      <w:divsChild>
        <w:div w:id="933167848">
          <w:marLeft w:val="0"/>
          <w:marRight w:val="0"/>
          <w:marTop w:val="0"/>
          <w:marBottom w:val="0"/>
          <w:divBdr>
            <w:top w:val="none" w:sz="0" w:space="0" w:color="auto"/>
            <w:left w:val="none" w:sz="0" w:space="0" w:color="auto"/>
            <w:bottom w:val="none" w:sz="0" w:space="0" w:color="auto"/>
            <w:right w:val="none" w:sz="0" w:space="0" w:color="auto"/>
          </w:divBdr>
        </w:div>
      </w:divsChild>
    </w:div>
    <w:div w:id="154685027">
      <w:bodyDiv w:val="1"/>
      <w:marLeft w:val="0"/>
      <w:marRight w:val="0"/>
      <w:marTop w:val="0"/>
      <w:marBottom w:val="0"/>
      <w:divBdr>
        <w:top w:val="none" w:sz="0" w:space="0" w:color="auto"/>
        <w:left w:val="none" w:sz="0" w:space="0" w:color="auto"/>
        <w:bottom w:val="none" w:sz="0" w:space="0" w:color="auto"/>
        <w:right w:val="none" w:sz="0" w:space="0" w:color="auto"/>
      </w:divBdr>
      <w:divsChild>
        <w:div w:id="885869093">
          <w:marLeft w:val="0"/>
          <w:marRight w:val="0"/>
          <w:marTop w:val="0"/>
          <w:marBottom w:val="0"/>
          <w:divBdr>
            <w:top w:val="none" w:sz="0" w:space="0" w:color="auto"/>
            <w:left w:val="none" w:sz="0" w:space="0" w:color="auto"/>
            <w:bottom w:val="none" w:sz="0" w:space="0" w:color="auto"/>
            <w:right w:val="none" w:sz="0" w:space="0" w:color="auto"/>
          </w:divBdr>
          <w:divsChild>
            <w:div w:id="889264274">
              <w:marLeft w:val="0"/>
              <w:marRight w:val="0"/>
              <w:marTop w:val="0"/>
              <w:marBottom w:val="0"/>
              <w:divBdr>
                <w:top w:val="none" w:sz="0" w:space="0" w:color="auto"/>
                <w:left w:val="none" w:sz="0" w:space="0" w:color="auto"/>
                <w:bottom w:val="none" w:sz="0" w:space="0" w:color="auto"/>
                <w:right w:val="none" w:sz="0" w:space="0" w:color="auto"/>
              </w:divBdr>
              <w:divsChild>
                <w:div w:id="1052073562">
                  <w:marLeft w:val="0"/>
                  <w:marRight w:val="0"/>
                  <w:marTop w:val="0"/>
                  <w:marBottom w:val="0"/>
                  <w:divBdr>
                    <w:top w:val="none" w:sz="0" w:space="0" w:color="auto"/>
                    <w:left w:val="none" w:sz="0" w:space="0" w:color="auto"/>
                    <w:bottom w:val="none" w:sz="0" w:space="0" w:color="auto"/>
                    <w:right w:val="none" w:sz="0" w:space="0" w:color="auto"/>
                  </w:divBdr>
                  <w:divsChild>
                    <w:div w:id="84229042">
                      <w:marLeft w:val="0"/>
                      <w:marRight w:val="0"/>
                      <w:marTop w:val="0"/>
                      <w:marBottom w:val="0"/>
                      <w:divBdr>
                        <w:top w:val="none" w:sz="0" w:space="0" w:color="auto"/>
                        <w:left w:val="none" w:sz="0" w:space="0" w:color="auto"/>
                        <w:bottom w:val="none" w:sz="0" w:space="0" w:color="auto"/>
                        <w:right w:val="none" w:sz="0" w:space="0" w:color="auto"/>
                      </w:divBdr>
                      <w:divsChild>
                        <w:div w:id="315570323">
                          <w:marLeft w:val="0"/>
                          <w:marRight w:val="0"/>
                          <w:marTop w:val="0"/>
                          <w:marBottom w:val="0"/>
                          <w:divBdr>
                            <w:top w:val="none" w:sz="0" w:space="0" w:color="auto"/>
                            <w:left w:val="none" w:sz="0" w:space="0" w:color="auto"/>
                            <w:bottom w:val="none" w:sz="0" w:space="0" w:color="auto"/>
                            <w:right w:val="none" w:sz="0" w:space="0" w:color="auto"/>
                          </w:divBdr>
                          <w:divsChild>
                            <w:div w:id="312956027">
                              <w:marLeft w:val="0"/>
                              <w:marRight w:val="0"/>
                              <w:marTop w:val="0"/>
                              <w:marBottom w:val="0"/>
                              <w:divBdr>
                                <w:top w:val="none" w:sz="0" w:space="0" w:color="auto"/>
                                <w:left w:val="none" w:sz="0" w:space="0" w:color="auto"/>
                                <w:bottom w:val="none" w:sz="0" w:space="0" w:color="auto"/>
                                <w:right w:val="none" w:sz="0" w:space="0" w:color="auto"/>
                              </w:divBdr>
                              <w:divsChild>
                                <w:div w:id="1364942758">
                                  <w:marLeft w:val="0"/>
                                  <w:marRight w:val="0"/>
                                  <w:marTop w:val="0"/>
                                  <w:marBottom w:val="0"/>
                                  <w:divBdr>
                                    <w:top w:val="none" w:sz="0" w:space="0" w:color="auto"/>
                                    <w:left w:val="none" w:sz="0" w:space="0" w:color="auto"/>
                                    <w:bottom w:val="none" w:sz="0" w:space="0" w:color="auto"/>
                                    <w:right w:val="none" w:sz="0" w:space="0" w:color="auto"/>
                                  </w:divBdr>
                                  <w:divsChild>
                                    <w:div w:id="147849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853294">
      <w:bodyDiv w:val="1"/>
      <w:marLeft w:val="0"/>
      <w:marRight w:val="0"/>
      <w:marTop w:val="0"/>
      <w:marBottom w:val="0"/>
      <w:divBdr>
        <w:top w:val="none" w:sz="0" w:space="0" w:color="auto"/>
        <w:left w:val="none" w:sz="0" w:space="0" w:color="auto"/>
        <w:bottom w:val="none" w:sz="0" w:space="0" w:color="auto"/>
        <w:right w:val="none" w:sz="0" w:space="0" w:color="auto"/>
      </w:divBdr>
      <w:divsChild>
        <w:div w:id="1735395752">
          <w:marLeft w:val="0"/>
          <w:marRight w:val="0"/>
          <w:marTop w:val="0"/>
          <w:marBottom w:val="0"/>
          <w:divBdr>
            <w:top w:val="none" w:sz="0" w:space="0" w:color="auto"/>
            <w:left w:val="none" w:sz="0" w:space="0" w:color="auto"/>
            <w:bottom w:val="none" w:sz="0" w:space="0" w:color="auto"/>
            <w:right w:val="none" w:sz="0" w:space="0" w:color="auto"/>
          </w:divBdr>
        </w:div>
      </w:divsChild>
    </w:div>
    <w:div w:id="180433503">
      <w:bodyDiv w:val="1"/>
      <w:marLeft w:val="0"/>
      <w:marRight w:val="0"/>
      <w:marTop w:val="0"/>
      <w:marBottom w:val="0"/>
      <w:divBdr>
        <w:top w:val="none" w:sz="0" w:space="0" w:color="auto"/>
        <w:left w:val="none" w:sz="0" w:space="0" w:color="auto"/>
        <w:bottom w:val="none" w:sz="0" w:space="0" w:color="auto"/>
        <w:right w:val="none" w:sz="0" w:space="0" w:color="auto"/>
      </w:divBdr>
      <w:divsChild>
        <w:div w:id="930043370">
          <w:marLeft w:val="0"/>
          <w:marRight w:val="0"/>
          <w:marTop w:val="0"/>
          <w:marBottom w:val="0"/>
          <w:divBdr>
            <w:top w:val="none" w:sz="0" w:space="0" w:color="auto"/>
            <w:left w:val="none" w:sz="0" w:space="0" w:color="auto"/>
            <w:bottom w:val="none" w:sz="0" w:space="0" w:color="auto"/>
            <w:right w:val="none" w:sz="0" w:space="0" w:color="auto"/>
          </w:divBdr>
        </w:div>
      </w:divsChild>
    </w:div>
    <w:div w:id="259679088">
      <w:bodyDiv w:val="1"/>
      <w:marLeft w:val="0"/>
      <w:marRight w:val="0"/>
      <w:marTop w:val="0"/>
      <w:marBottom w:val="0"/>
      <w:divBdr>
        <w:top w:val="none" w:sz="0" w:space="0" w:color="auto"/>
        <w:left w:val="none" w:sz="0" w:space="0" w:color="auto"/>
        <w:bottom w:val="none" w:sz="0" w:space="0" w:color="auto"/>
        <w:right w:val="none" w:sz="0" w:space="0" w:color="auto"/>
      </w:divBdr>
    </w:div>
    <w:div w:id="320739584">
      <w:bodyDiv w:val="1"/>
      <w:marLeft w:val="0"/>
      <w:marRight w:val="0"/>
      <w:marTop w:val="0"/>
      <w:marBottom w:val="0"/>
      <w:divBdr>
        <w:top w:val="none" w:sz="0" w:space="0" w:color="auto"/>
        <w:left w:val="none" w:sz="0" w:space="0" w:color="auto"/>
        <w:bottom w:val="none" w:sz="0" w:space="0" w:color="auto"/>
        <w:right w:val="none" w:sz="0" w:space="0" w:color="auto"/>
      </w:divBdr>
    </w:div>
    <w:div w:id="371197270">
      <w:bodyDiv w:val="1"/>
      <w:marLeft w:val="0"/>
      <w:marRight w:val="0"/>
      <w:marTop w:val="0"/>
      <w:marBottom w:val="0"/>
      <w:divBdr>
        <w:top w:val="none" w:sz="0" w:space="0" w:color="auto"/>
        <w:left w:val="none" w:sz="0" w:space="0" w:color="auto"/>
        <w:bottom w:val="none" w:sz="0" w:space="0" w:color="auto"/>
        <w:right w:val="none" w:sz="0" w:space="0" w:color="auto"/>
      </w:divBdr>
    </w:div>
    <w:div w:id="395007200">
      <w:bodyDiv w:val="1"/>
      <w:marLeft w:val="0"/>
      <w:marRight w:val="0"/>
      <w:marTop w:val="0"/>
      <w:marBottom w:val="0"/>
      <w:divBdr>
        <w:top w:val="none" w:sz="0" w:space="0" w:color="auto"/>
        <w:left w:val="none" w:sz="0" w:space="0" w:color="auto"/>
        <w:bottom w:val="none" w:sz="0" w:space="0" w:color="auto"/>
        <w:right w:val="none" w:sz="0" w:space="0" w:color="auto"/>
      </w:divBdr>
      <w:divsChild>
        <w:div w:id="533467184">
          <w:marLeft w:val="0"/>
          <w:marRight w:val="0"/>
          <w:marTop w:val="0"/>
          <w:marBottom w:val="0"/>
          <w:divBdr>
            <w:top w:val="none" w:sz="0" w:space="0" w:color="auto"/>
            <w:left w:val="none" w:sz="0" w:space="0" w:color="auto"/>
            <w:bottom w:val="none" w:sz="0" w:space="0" w:color="auto"/>
            <w:right w:val="none" w:sz="0" w:space="0" w:color="auto"/>
          </w:divBdr>
          <w:divsChild>
            <w:div w:id="1112748587">
              <w:marLeft w:val="0"/>
              <w:marRight w:val="0"/>
              <w:marTop w:val="0"/>
              <w:marBottom w:val="0"/>
              <w:divBdr>
                <w:top w:val="none" w:sz="0" w:space="0" w:color="auto"/>
                <w:left w:val="none" w:sz="0" w:space="0" w:color="auto"/>
                <w:bottom w:val="none" w:sz="0" w:space="0" w:color="auto"/>
                <w:right w:val="none" w:sz="0" w:space="0" w:color="auto"/>
              </w:divBdr>
              <w:divsChild>
                <w:div w:id="1216888334">
                  <w:marLeft w:val="0"/>
                  <w:marRight w:val="0"/>
                  <w:marTop w:val="0"/>
                  <w:marBottom w:val="0"/>
                  <w:divBdr>
                    <w:top w:val="none" w:sz="0" w:space="0" w:color="auto"/>
                    <w:left w:val="none" w:sz="0" w:space="0" w:color="auto"/>
                    <w:bottom w:val="none" w:sz="0" w:space="0" w:color="auto"/>
                    <w:right w:val="none" w:sz="0" w:space="0" w:color="auto"/>
                  </w:divBdr>
                  <w:divsChild>
                    <w:div w:id="2008171493">
                      <w:marLeft w:val="0"/>
                      <w:marRight w:val="0"/>
                      <w:marTop w:val="0"/>
                      <w:marBottom w:val="0"/>
                      <w:divBdr>
                        <w:top w:val="none" w:sz="0" w:space="0" w:color="auto"/>
                        <w:left w:val="none" w:sz="0" w:space="0" w:color="auto"/>
                        <w:bottom w:val="none" w:sz="0" w:space="0" w:color="auto"/>
                        <w:right w:val="none" w:sz="0" w:space="0" w:color="auto"/>
                      </w:divBdr>
                      <w:divsChild>
                        <w:div w:id="1155537381">
                          <w:marLeft w:val="0"/>
                          <w:marRight w:val="0"/>
                          <w:marTop w:val="0"/>
                          <w:marBottom w:val="0"/>
                          <w:divBdr>
                            <w:top w:val="none" w:sz="0" w:space="0" w:color="auto"/>
                            <w:left w:val="none" w:sz="0" w:space="0" w:color="auto"/>
                            <w:bottom w:val="none" w:sz="0" w:space="0" w:color="auto"/>
                            <w:right w:val="none" w:sz="0" w:space="0" w:color="auto"/>
                          </w:divBdr>
                          <w:divsChild>
                            <w:div w:id="704598774">
                              <w:marLeft w:val="0"/>
                              <w:marRight w:val="0"/>
                              <w:marTop w:val="0"/>
                              <w:marBottom w:val="0"/>
                              <w:divBdr>
                                <w:top w:val="none" w:sz="0" w:space="0" w:color="auto"/>
                                <w:left w:val="none" w:sz="0" w:space="0" w:color="auto"/>
                                <w:bottom w:val="none" w:sz="0" w:space="0" w:color="auto"/>
                                <w:right w:val="none" w:sz="0" w:space="0" w:color="auto"/>
                              </w:divBdr>
                              <w:divsChild>
                                <w:div w:id="511996707">
                                  <w:marLeft w:val="0"/>
                                  <w:marRight w:val="0"/>
                                  <w:marTop w:val="0"/>
                                  <w:marBottom w:val="0"/>
                                  <w:divBdr>
                                    <w:top w:val="none" w:sz="0" w:space="0" w:color="auto"/>
                                    <w:left w:val="none" w:sz="0" w:space="0" w:color="auto"/>
                                    <w:bottom w:val="none" w:sz="0" w:space="0" w:color="auto"/>
                                    <w:right w:val="none" w:sz="0" w:space="0" w:color="auto"/>
                                  </w:divBdr>
                                  <w:divsChild>
                                    <w:div w:id="2108497729">
                                      <w:marLeft w:val="0"/>
                                      <w:marRight w:val="0"/>
                                      <w:marTop w:val="0"/>
                                      <w:marBottom w:val="0"/>
                                      <w:divBdr>
                                        <w:top w:val="none" w:sz="0" w:space="0" w:color="auto"/>
                                        <w:left w:val="none" w:sz="0" w:space="0" w:color="auto"/>
                                        <w:bottom w:val="none" w:sz="0" w:space="0" w:color="auto"/>
                                        <w:right w:val="none" w:sz="0" w:space="0" w:color="auto"/>
                                      </w:divBdr>
                                      <w:divsChild>
                                        <w:div w:id="1146238659">
                                          <w:marLeft w:val="0"/>
                                          <w:marRight w:val="0"/>
                                          <w:marTop w:val="0"/>
                                          <w:marBottom w:val="0"/>
                                          <w:divBdr>
                                            <w:top w:val="none" w:sz="0" w:space="0" w:color="auto"/>
                                            <w:left w:val="none" w:sz="0" w:space="0" w:color="auto"/>
                                            <w:bottom w:val="none" w:sz="0" w:space="0" w:color="auto"/>
                                            <w:right w:val="none" w:sz="0" w:space="0" w:color="auto"/>
                                          </w:divBdr>
                                          <w:divsChild>
                                            <w:div w:id="1015157132">
                                              <w:marLeft w:val="0"/>
                                              <w:marRight w:val="0"/>
                                              <w:marTop w:val="0"/>
                                              <w:marBottom w:val="0"/>
                                              <w:divBdr>
                                                <w:top w:val="none" w:sz="0" w:space="0" w:color="auto"/>
                                                <w:left w:val="none" w:sz="0" w:space="0" w:color="auto"/>
                                                <w:bottom w:val="none" w:sz="0" w:space="0" w:color="auto"/>
                                                <w:right w:val="none" w:sz="0" w:space="0" w:color="auto"/>
                                              </w:divBdr>
                                              <w:divsChild>
                                                <w:div w:id="94205915">
                                                  <w:marLeft w:val="0"/>
                                                  <w:marRight w:val="0"/>
                                                  <w:marTop w:val="0"/>
                                                  <w:marBottom w:val="0"/>
                                                  <w:divBdr>
                                                    <w:top w:val="none" w:sz="0" w:space="0" w:color="auto"/>
                                                    <w:left w:val="none" w:sz="0" w:space="0" w:color="auto"/>
                                                    <w:bottom w:val="none" w:sz="0" w:space="0" w:color="auto"/>
                                                    <w:right w:val="none" w:sz="0" w:space="0" w:color="auto"/>
                                                  </w:divBdr>
                                                  <w:divsChild>
                                                    <w:div w:id="18035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84500564">
          <w:marLeft w:val="0"/>
          <w:marRight w:val="0"/>
          <w:marTop w:val="0"/>
          <w:marBottom w:val="0"/>
          <w:divBdr>
            <w:top w:val="none" w:sz="0" w:space="0" w:color="auto"/>
            <w:left w:val="none" w:sz="0" w:space="0" w:color="auto"/>
            <w:bottom w:val="none" w:sz="0" w:space="0" w:color="auto"/>
            <w:right w:val="none" w:sz="0" w:space="0" w:color="auto"/>
          </w:divBdr>
          <w:divsChild>
            <w:div w:id="276721945">
              <w:marLeft w:val="0"/>
              <w:marRight w:val="0"/>
              <w:marTop w:val="0"/>
              <w:marBottom w:val="0"/>
              <w:divBdr>
                <w:top w:val="none" w:sz="0" w:space="0" w:color="auto"/>
                <w:left w:val="none" w:sz="0" w:space="0" w:color="auto"/>
                <w:bottom w:val="none" w:sz="0" w:space="0" w:color="auto"/>
                <w:right w:val="none" w:sz="0" w:space="0" w:color="auto"/>
              </w:divBdr>
              <w:divsChild>
                <w:div w:id="1337733924">
                  <w:marLeft w:val="0"/>
                  <w:marRight w:val="0"/>
                  <w:marTop w:val="0"/>
                  <w:marBottom w:val="0"/>
                  <w:divBdr>
                    <w:top w:val="none" w:sz="0" w:space="0" w:color="auto"/>
                    <w:left w:val="none" w:sz="0" w:space="0" w:color="auto"/>
                    <w:bottom w:val="none" w:sz="0" w:space="0" w:color="auto"/>
                    <w:right w:val="none" w:sz="0" w:space="0" w:color="auto"/>
                  </w:divBdr>
                  <w:divsChild>
                    <w:div w:id="1892838239">
                      <w:marLeft w:val="0"/>
                      <w:marRight w:val="0"/>
                      <w:marTop w:val="0"/>
                      <w:marBottom w:val="0"/>
                      <w:divBdr>
                        <w:top w:val="none" w:sz="0" w:space="0" w:color="auto"/>
                        <w:left w:val="none" w:sz="0" w:space="0" w:color="auto"/>
                        <w:bottom w:val="none" w:sz="0" w:space="0" w:color="auto"/>
                        <w:right w:val="none" w:sz="0" w:space="0" w:color="auto"/>
                      </w:divBdr>
                      <w:divsChild>
                        <w:div w:id="94827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8644703">
      <w:bodyDiv w:val="1"/>
      <w:marLeft w:val="0"/>
      <w:marRight w:val="0"/>
      <w:marTop w:val="0"/>
      <w:marBottom w:val="0"/>
      <w:divBdr>
        <w:top w:val="none" w:sz="0" w:space="0" w:color="auto"/>
        <w:left w:val="none" w:sz="0" w:space="0" w:color="auto"/>
        <w:bottom w:val="none" w:sz="0" w:space="0" w:color="auto"/>
        <w:right w:val="none" w:sz="0" w:space="0" w:color="auto"/>
      </w:divBdr>
      <w:divsChild>
        <w:div w:id="852569252">
          <w:marLeft w:val="0"/>
          <w:marRight w:val="0"/>
          <w:marTop w:val="0"/>
          <w:marBottom w:val="0"/>
          <w:divBdr>
            <w:top w:val="none" w:sz="0" w:space="0" w:color="auto"/>
            <w:left w:val="none" w:sz="0" w:space="0" w:color="auto"/>
            <w:bottom w:val="none" w:sz="0" w:space="0" w:color="auto"/>
            <w:right w:val="none" w:sz="0" w:space="0" w:color="auto"/>
          </w:divBdr>
        </w:div>
      </w:divsChild>
    </w:div>
    <w:div w:id="465245685">
      <w:bodyDiv w:val="1"/>
      <w:marLeft w:val="0"/>
      <w:marRight w:val="0"/>
      <w:marTop w:val="0"/>
      <w:marBottom w:val="0"/>
      <w:divBdr>
        <w:top w:val="none" w:sz="0" w:space="0" w:color="auto"/>
        <w:left w:val="none" w:sz="0" w:space="0" w:color="auto"/>
        <w:bottom w:val="none" w:sz="0" w:space="0" w:color="auto"/>
        <w:right w:val="none" w:sz="0" w:space="0" w:color="auto"/>
      </w:divBdr>
      <w:divsChild>
        <w:div w:id="1441149215">
          <w:marLeft w:val="0"/>
          <w:marRight w:val="0"/>
          <w:marTop w:val="0"/>
          <w:marBottom w:val="0"/>
          <w:divBdr>
            <w:top w:val="none" w:sz="0" w:space="0" w:color="auto"/>
            <w:left w:val="none" w:sz="0" w:space="0" w:color="auto"/>
            <w:bottom w:val="none" w:sz="0" w:space="0" w:color="auto"/>
            <w:right w:val="none" w:sz="0" w:space="0" w:color="auto"/>
          </w:divBdr>
        </w:div>
      </w:divsChild>
    </w:div>
    <w:div w:id="510410109">
      <w:bodyDiv w:val="1"/>
      <w:marLeft w:val="0"/>
      <w:marRight w:val="0"/>
      <w:marTop w:val="0"/>
      <w:marBottom w:val="0"/>
      <w:divBdr>
        <w:top w:val="none" w:sz="0" w:space="0" w:color="auto"/>
        <w:left w:val="none" w:sz="0" w:space="0" w:color="auto"/>
        <w:bottom w:val="none" w:sz="0" w:space="0" w:color="auto"/>
        <w:right w:val="none" w:sz="0" w:space="0" w:color="auto"/>
      </w:divBdr>
      <w:divsChild>
        <w:div w:id="1896429412">
          <w:marLeft w:val="0"/>
          <w:marRight w:val="0"/>
          <w:marTop w:val="0"/>
          <w:marBottom w:val="0"/>
          <w:divBdr>
            <w:top w:val="none" w:sz="0" w:space="0" w:color="auto"/>
            <w:left w:val="none" w:sz="0" w:space="0" w:color="auto"/>
            <w:bottom w:val="none" w:sz="0" w:space="0" w:color="auto"/>
            <w:right w:val="none" w:sz="0" w:space="0" w:color="auto"/>
          </w:divBdr>
        </w:div>
      </w:divsChild>
    </w:div>
    <w:div w:id="539829488">
      <w:bodyDiv w:val="1"/>
      <w:marLeft w:val="0"/>
      <w:marRight w:val="0"/>
      <w:marTop w:val="0"/>
      <w:marBottom w:val="0"/>
      <w:divBdr>
        <w:top w:val="none" w:sz="0" w:space="0" w:color="auto"/>
        <w:left w:val="none" w:sz="0" w:space="0" w:color="auto"/>
        <w:bottom w:val="none" w:sz="0" w:space="0" w:color="auto"/>
        <w:right w:val="none" w:sz="0" w:space="0" w:color="auto"/>
      </w:divBdr>
    </w:div>
    <w:div w:id="582448548">
      <w:bodyDiv w:val="1"/>
      <w:marLeft w:val="0"/>
      <w:marRight w:val="0"/>
      <w:marTop w:val="0"/>
      <w:marBottom w:val="0"/>
      <w:divBdr>
        <w:top w:val="none" w:sz="0" w:space="0" w:color="auto"/>
        <w:left w:val="none" w:sz="0" w:space="0" w:color="auto"/>
        <w:bottom w:val="none" w:sz="0" w:space="0" w:color="auto"/>
        <w:right w:val="none" w:sz="0" w:space="0" w:color="auto"/>
      </w:divBdr>
      <w:divsChild>
        <w:div w:id="661352276">
          <w:marLeft w:val="0"/>
          <w:marRight w:val="0"/>
          <w:marTop w:val="0"/>
          <w:marBottom w:val="0"/>
          <w:divBdr>
            <w:top w:val="none" w:sz="0" w:space="0" w:color="auto"/>
            <w:left w:val="none" w:sz="0" w:space="0" w:color="auto"/>
            <w:bottom w:val="none" w:sz="0" w:space="0" w:color="auto"/>
            <w:right w:val="none" w:sz="0" w:space="0" w:color="auto"/>
          </w:divBdr>
        </w:div>
      </w:divsChild>
    </w:div>
    <w:div w:id="620262681">
      <w:bodyDiv w:val="1"/>
      <w:marLeft w:val="0"/>
      <w:marRight w:val="0"/>
      <w:marTop w:val="0"/>
      <w:marBottom w:val="0"/>
      <w:divBdr>
        <w:top w:val="none" w:sz="0" w:space="0" w:color="auto"/>
        <w:left w:val="none" w:sz="0" w:space="0" w:color="auto"/>
        <w:bottom w:val="none" w:sz="0" w:space="0" w:color="auto"/>
        <w:right w:val="none" w:sz="0" w:space="0" w:color="auto"/>
      </w:divBdr>
      <w:divsChild>
        <w:div w:id="755634098">
          <w:marLeft w:val="0"/>
          <w:marRight w:val="0"/>
          <w:marTop w:val="0"/>
          <w:marBottom w:val="0"/>
          <w:divBdr>
            <w:top w:val="none" w:sz="0" w:space="0" w:color="auto"/>
            <w:left w:val="none" w:sz="0" w:space="0" w:color="auto"/>
            <w:bottom w:val="none" w:sz="0" w:space="0" w:color="auto"/>
            <w:right w:val="none" w:sz="0" w:space="0" w:color="auto"/>
          </w:divBdr>
          <w:divsChild>
            <w:div w:id="704793179">
              <w:marLeft w:val="0"/>
              <w:marRight w:val="0"/>
              <w:marTop w:val="0"/>
              <w:marBottom w:val="0"/>
              <w:divBdr>
                <w:top w:val="none" w:sz="0" w:space="0" w:color="auto"/>
                <w:left w:val="none" w:sz="0" w:space="0" w:color="auto"/>
                <w:bottom w:val="none" w:sz="0" w:space="0" w:color="auto"/>
                <w:right w:val="none" w:sz="0" w:space="0" w:color="auto"/>
              </w:divBdr>
              <w:divsChild>
                <w:div w:id="910963717">
                  <w:marLeft w:val="0"/>
                  <w:marRight w:val="0"/>
                  <w:marTop w:val="0"/>
                  <w:marBottom w:val="0"/>
                  <w:divBdr>
                    <w:top w:val="none" w:sz="0" w:space="0" w:color="auto"/>
                    <w:left w:val="none" w:sz="0" w:space="0" w:color="auto"/>
                    <w:bottom w:val="none" w:sz="0" w:space="0" w:color="auto"/>
                    <w:right w:val="none" w:sz="0" w:space="0" w:color="auto"/>
                  </w:divBdr>
                  <w:divsChild>
                    <w:div w:id="1488935573">
                      <w:marLeft w:val="0"/>
                      <w:marRight w:val="0"/>
                      <w:marTop w:val="0"/>
                      <w:marBottom w:val="0"/>
                      <w:divBdr>
                        <w:top w:val="none" w:sz="0" w:space="0" w:color="auto"/>
                        <w:left w:val="none" w:sz="0" w:space="0" w:color="auto"/>
                        <w:bottom w:val="none" w:sz="0" w:space="0" w:color="auto"/>
                        <w:right w:val="none" w:sz="0" w:space="0" w:color="auto"/>
                      </w:divBdr>
                      <w:divsChild>
                        <w:div w:id="1233195041">
                          <w:marLeft w:val="0"/>
                          <w:marRight w:val="0"/>
                          <w:marTop w:val="0"/>
                          <w:marBottom w:val="0"/>
                          <w:divBdr>
                            <w:top w:val="none" w:sz="0" w:space="0" w:color="auto"/>
                            <w:left w:val="none" w:sz="0" w:space="0" w:color="auto"/>
                            <w:bottom w:val="none" w:sz="0" w:space="0" w:color="auto"/>
                            <w:right w:val="none" w:sz="0" w:space="0" w:color="auto"/>
                          </w:divBdr>
                          <w:divsChild>
                            <w:div w:id="1895659941">
                              <w:marLeft w:val="0"/>
                              <w:marRight w:val="0"/>
                              <w:marTop w:val="0"/>
                              <w:marBottom w:val="0"/>
                              <w:divBdr>
                                <w:top w:val="none" w:sz="0" w:space="0" w:color="auto"/>
                                <w:left w:val="none" w:sz="0" w:space="0" w:color="auto"/>
                                <w:bottom w:val="none" w:sz="0" w:space="0" w:color="auto"/>
                                <w:right w:val="none" w:sz="0" w:space="0" w:color="auto"/>
                              </w:divBdr>
                              <w:divsChild>
                                <w:div w:id="1640380826">
                                  <w:marLeft w:val="0"/>
                                  <w:marRight w:val="0"/>
                                  <w:marTop w:val="0"/>
                                  <w:marBottom w:val="0"/>
                                  <w:divBdr>
                                    <w:top w:val="none" w:sz="0" w:space="0" w:color="auto"/>
                                    <w:left w:val="none" w:sz="0" w:space="0" w:color="auto"/>
                                    <w:bottom w:val="none" w:sz="0" w:space="0" w:color="auto"/>
                                    <w:right w:val="none" w:sz="0" w:space="0" w:color="auto"/>
                                  </w:divBdr>
                                  <w:divsChild>
                                    <w:div w:id="111767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0646376">
      <w:bodyDiv w:val="1"/>
      <w:marLeft w:val="0"/>
      <w:marRight w:val="0"/>
      <w:marTop w:val="0"/>
      <w:marBottom w:val="0"/>
      <w:divBdr>
        <w:top w:val="none" w:sz="0" w:space="0" w:color="auto"/>
        <w:left w:val="none" w:sz="0" w:space="0" w:color="auto"/>
        <w:bottom w:val="none" w:sz="0" w:space="0" w:color="auto"/>
        <w:right w:val="none" w:sz="0" w:space="0" w:color="auto"/>
      </w:divBdr>
      <w:divsChild>
        <w:div w:id="1377729846">
          <w:marLeft w:val="0"/>
          <w:marRight w:val="0"/>
          <w:marTop w:val="0"/>
          <w:marBottom w:val="0"/>
          <w:divBdr>
            <w:top w:val="none" w:sz="0" w:space="0" w:color="auto"/>
            <w:left w:val="none" w:sz="0" w:space="0" w:color="auto"/>
            <w:bottom w:val="none" w:sz="0" w:space="0" w:color="auto"/>
            <w:right w:val="none" w:sz="0" w:space="0" w:color="auto"/>
          </w:divBdr>
        </w:div>
      </w:divsChild>
    </w:div>
    <w:div w:id="753010463">
      <w:bodyDiv w:val="1"/>
      <w:marLeft w:val="0"/>
      <w:marRight w:val="0"/>
      <w:marTop w:val="0"/>
      <w:marBottom w:val="0"/>
      <w:divBdr>
        <w:top w:val="none" w:sz="0" w:space="0" w:color="auto"/>
        <w:left w:val="none" w:sz="0" w:space="0" w:color="auto"/>
        <w:bottom w:val="none" w:sz="0" w:space="0" w:color="auto"/>
        <w:right w:val="none" w:sz="0" w:space="0" w:color="auto"/>
      </w:divBdr>
      <w:divsChild>
        <w:div w:id="1830823276">
          <w:marLeft w:val="0"/>
          <w:marRight w:val="0"/>
          <w:marTop w:val="0"/>
          <w:marBottom w:val="0"/>
          <w:divBdr>
            <w:top w:val="none" w:sz="0" w:space="0" w:color="auto"/>
            <w:left w:val="none" w:sz="0" w:space="0" w:color="auto"/>
            <w:bottom w:val="none" w:sz="0" w:space="0" w:color="auto"/>
            <w:right w:val="none" w:sz="0" w:space="0" w:color="auto"/>
          </w:divBdr>
        </w:div>
      </w:divsChild>
    </w:div>
    <w:div w:id="759378172">
      <w:bodyDiv w:val="1"/>
      <w:marLeft w:val="0"/>
      <w:marRight w:val="0"/>
      <w:marTop w:val="0"/>
      <w:marBottom w:val="0"/>
      <w:divBdr>
        <w:top w:val="none" w:sz="0" w:space="0" w:color="auto"/>
        <w:left w:val="none" w:sz="0" w:space="0" w:color="auto"/>
        <w:bottom w:val="none" w:sz="0" w:space="0" w:color="auto"/>
        <w:right w:val="none" w:sz="0" w:space="0" w:color="auto"/>
      </w:divBdr>
    </w:div>
    <w:div w:id="831533136">
      <w:bodyDiv w:val="1"/>
      <w:marLeft w:val="0"/>
      <w:marRight w:val="0"/>
      <w:marTop w:val="0"/>
      <w:marBottom w:val="0"/>
      <w:divBdr>
        <w:top w:val="none" w:sz="0" w:space="0" w:color="auto"/>
        <w:left w:val="none" w:sz="0" w:space="0" w:color="auto"/>
        <w:bottom w:val="none" w:sz="0" w:space="0" w:color="auto"/>
        <w:right w:val="none" w:sz="0" w:space="0" w:color="auto"/>
      </w:divBdr>
      <w:divsChild>
        <w:div w:id="1091701171">
          <w:marLeft w:val="0"/>
          <w:marRight w:val="0"/>
          <w:marTop w:val="0"/>
          <w:marBottom w:val="0"/>
          <w:divBdr>
            <w:top w:val="none" w:sz="0" w:space="0" w:color="auto"/>
            <w:left w:val="none" w:sz="0" w:space="0" w:color="auto"/>
            <w:bottom w:val="none" w:sz="0" w:space="0" w:color="auto"/>
            <w:right w:val="none" w:sz="0" w:space="0" w:color="auto"/>
          </w:divBdr>
        </w:div>
      </w:divsChild>
    </w:div>
    <w:div w:id="843007868">
      <w:bodyDiv w:val="1"/>
      <w:marLeft w:val="0"/>
      <w:marRight w:val="0"/>
      <w:marTop w:val="0"/>
      <w:marBottom w:val="0"/>
      <w:divBdr>
        <w:top w:val="none" w:sz="0" w:space="0" w:color="auto"/>
        <w:left w:val="none" w:sz="0" w:space="0" w:color="auto"/>
        <w:bottom w:val="none" w:sz="0" w:space="0" w:color="auto"/>
        <w:right w:val="none" w:sz="0" w:space="0" w:color="auto"/>
      </w:divBdr>
      <w:divsChild>
        <w:div w:id="1087532226">
          <w:marLeft w:val="0"/>
          <w:marRight w:val="240"/>
          <w:marTop w:val="0"/>
          <w:marBottom w:val="0"/>
          <w:divBdr>
            <w:top w:val="none" w:sz="0" w:space="0" w:color="auto"/>
            <w:left w:val="none" w:sz="0" w:space="0" w:color="auto"/>
            <w:bottom w:val="none" w:sz="0" w:space="0" w:color="auto"/>
            <w:right w:val="none" w:sz="0" w:space="0" w:color="auto"/>
          </w:divBdr>
          <w:divsChild>
            <w:div w:id="1294671299">
              <w:marLeft w:val="0"/>
              <w:marRight w:val="0"/>
              <w:marTop w:val="0"/>
              <w:marBottom w:val="0"/>
              <w:divBdr>
                <w:top w:val="none" w:sz="0" w:space="0" w:color="auto"/>
                <w:left w:val="none" w:sz="0" w:space="0" w:color="auto"/>
                <w:bottom w:val="none" w:sz="0" w:space="0" w:color="auto"/>
                <w:right w:val="none" w:sz="0" w:space="0" w:color="auto"/>
              </w:divBdr>
              <w:divsChild>
                <w:div w:id="1505631009">
                  <w:marLeft w:val="0"/>
                  <w:marRight w:val="0"/>
                  <w:marTop w:val="0"/>
                  <w:marBottom w:val="0"/>
                  <w:divBdr>
                    <w:top w:val="none" w:sz="0" w:space="0" w:color="auto"/>
                    <w:left w:val="none" w:sz="0" w:space="0" w:color="auto"/>
                    <w:bottom w:val="none" w:sz="0" w:space="0" w:color="auto"/>
                    <w:right w:val="none" w:sz="0" w:space="0" w:color="auto"/>
                  </w:divBdr>
                  <w:divsChild>
                    <w:div w:id="183640876">
                      <w:marLeft w:val="0"/>
                      <w:marRight w:val="0"/>
                      <w:marTop w:val="0"/>
                      <w:marBottom w:val="0"/>
                      <w:divBdr>
                        <w:top w:val="none" w:sz="0" w:space="0" w:color="auto"/>
                        <w:left w:val="none" w:sz="0" w:space="0" w:color="auto"/>
                        <w:bottom w:val="none" w:sz="0" w:space="0" w:color="auto"/>
                        <w:right w:val="none" w:sz="0" w:space="0" w:color="auto"/>
                      </w:divBdr>
                      <w:divsChild>
                        <w:div w:id="488667391">
                          <w:marLeft w:val="0"/>
                          <w:marRight w:val="0"/>
                          <w:marTop w:val="0"/>
                          <w:marBottom w:val="0"/>
                          <w:divBdr>
                            <w:top w:val="none" w:sz="0" w:space="0" w:color="auto"/>
                            <w:left w:val="none" w:sz="0" w:space="0" w:color="auto"/>
                            <w:bottom w:val="none" w:sz="0" w:space="0" w:color="auto"/>
                            <w:right w:val="none" w:sz="0" w:space="0" w:color="auto"/>
                          </w:divBdr>
                          <w:divsChild>
                            <w:div w:id="1457290373">
                              <w:marLeft w:val="0"/>
                              <w:marRight w:val="0"/>
                              <w:marTop w:val="0"/>
                              <w:marBottom w:val="0"/>
                              <w:divBdr>
                                <w:top w:val="none" w:sz="0" w:space="0" w:color="auto"/>
                                <w:left w:val="none" w:sz="0" w:space="0" w:color="auto"/>
                                <w:bottom w:val="none" w:sz="0" w:space="0" w:color="auto"/>
                                <w:right w:val="none" w:sz="0" w:space="0" w:color="auto"/>
                              </w:divBdr>
                              <w:divsChild>
                                <w:div w:id="10774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7058053">
      <w:bodyDiv w:val="1"/>
      <w:marLeft w:val="0"/>
      <w:marRight w:val="0"/>
      <w:marTop w:val="0"/>
      <w:marBottom w:val="0"/>
      <w:divBdr>
        <w:top w:val="none" w:sz="0" w:space="0" w:color="auto"/>
        <w:left w:val="none" w:sz="0" w:space="0" w:color="auto"/>
        <w:bottom w:val="none" w:sz="0" w:space="0" w:color="auto"/>
        <w:right w:val="none" w:sz="0" w:space="0" w:color="auto"/>
      </w:divBdr>
      <w:divsChild>
        <w:div w:id="1123187191">
          <w:marLeft w:val="0"/>
          <w:marRight w:val="0"/>
          <w:marTop w:val="0"/>
          <w:marBottom w:val="0"/>
          <w:divBdr>
            <w:top w:val="none" w:sz="0" w:space="0" w:color="auto"/>
            <w:left w:val="none" w:sz="0" w:space="0" w:color="auto"/>
            <w:bottom w:val="none" w:sz="0" w:space="0" w:color="auto"/>
            <w:right w:val="none" w:sz="0" w:space="0" w:color="auto"/>
          </w:divBdr>
        </w:div>
      </w:divsChild>
    </w:div>
    <w:div w:id="871649470">
      <w:bodyDiv w:val="1"/>
      <w:marLeft w:val="0"/>
      <w:marRight w:val="0"/>
      <w:marTop w:val="0"/>
      <w:marBottom w:val="0"/>
      <w:divBdr>
        <w:top w:val="none" w:sz="0" w:space="0" w:color="auto"/>
        <w:left w:val="none" w:sz="0" w:space="0" w:color="auto"/>
        <w:bottom w:val="none" w:sz="0" w:space="0" w:color="auto"/>
        <w:right w:val="none" w:sz="0" w:space="0" w:color="auto"/>
      </w:divBdr>
    </w:div>
    <w:div w:id="872381223">
      <w:bodyDiv w:val="1"/>
      <w:marLeft w:val="0"/>
      <w:marRight w:val="0"/>
      <w:marTop w:val="0"/>
      <w:marBottom w:val="0"/>
      <w:divBdr>
        <w:top w:val="none" w:sz="0" w:space="0" w:color="auto"/>
        <w:left w:val="none" w:sz="0" w:space="0" w:color="auto"/>
        <w:bottom w:val="none" w:sz="0" w:space="0" w:color="auto"/>
        <w:right w:val="none" w:sz="0" w:space="0" w:color="auto"/>
      </w:divBdr>
      <w:divsChild>
        <w:div w:id="1722437499">
          <w:marLeft w:val="0"/>
          <w:marRight w:val="0"/>
          <w:marTop w:val="0"/>
          <w:marBottom w:val="0"/>
          <w:divBdr>
            <w:top w:val="none" w:sz="0" w:space="0" w:color="auto"/>
            <w:left w:val="none" w:sz="0" w:space="0" w:color="auto"/>
            <w:bottom w:val="none" w:sz="0" w:space="0" w:color="auto"/>
            <w:right w:val="none" w:sz="0" w:space="0" w:color="auto"/>
          </w:divBdr>
        </w:div>
      </w:divsChild>
    </w:div>
    <w:div w:id="920287126">
      <w:bodyDiv w:val="1"/>
      <w:marLeft w:val="0"/>
      <w:marRight w:val="0"/>
      <w:marTop w:val="0"/>
      <w:marBottom w:val="0"/>
      <w:divBdr>
        <w:top w:val="none" w:sz="0" w:space="0" w:color="auto"/>
        <w:left w:val="none" w:sz="0" w:space="0" w:color="auto"/>
        <w:bottom w:val="none" w:sz="0" w:space="0" w:color="auto"/>
        <w:right w:val="none" w:sz="0" w:space="0" w:color="auto"/>
      </w:divBdr>
      <w:divsChild>
        <w:div w:id="1230269098">
          <w:marLeft w:val="0"/>
          <w:marRight w:val="240"/>
          <w:marTop w:val="0"/>
          <w:marBottom w:val="0"/>
          <w:divBdr>
            <w:top w:val="none" w:sz="0" w:space="0" w:color="auto"/>
            <w:left w:val="none" w:sz="0" w:space="0" w:color="auto"/>
            <w:bottom w:val="none" w:sz="0" w:space="0" w:color="auto"/>
            <w:right w:val="none" w:sz="0" w:space="0" w:color="auto"/>
          </w:divBdr>
          <w:divsChild>
            <w:div w:id="1333491552">
              <w:marLeft w:val="0"/>
              <w:marRight w:val="0"/>
              <w:marTop w:val="0"/>
              <w:marBottom w:val="0"/>
              <w:divBdr>
                <w:top w:val="none" w:sz="0" w:space="0" w:color="auto"/>
                <w:left w:val="none" w:sz="0" w:space="0" w:color="auto"/>
                <w:bottom w:val="none" w:sz="0" w:space="0" w:color="auto"/>
                <w:right w:val="none" w:sz="0" w:space="0" w:color="auto"/>
              </w:divBdr>
              <w:divsChild>
                <w:div w:id="2017077520">
                  <w:marLeft w:val="0"/>
                  <w:marRight w:val="0"/>
                  <w:marTop w:val="0"/>
                  <w:marBottom w:val="0"/>
                  <w:divBdr>
                    <w:top w:val="none" w:sz="0" w:space="0" w:color="auto"/>
                    <w:left w:val="none" w:sz="0" w:space="0" w:color="auto"/>
                    <w:bottom w:val="none" w:sz="0" w:space="0" w:color="auto"/>
                    <w:right w:val="none" w:sz="0" w:space="0" w:color="auto"/>
                  </w:divBdr>
                  <w:divsChild>
                    <w:div w:id="227692059">
                      <w:marLeft w:val="0"/>
                      <w:marRight w:val="0"/>
                      <w:marTop w:val="0"/>
                      <w:marBottom w:val="0"/>
                      <w:divBdr>
                        <w:top w:val="none" w:sz="0" w:space="0" w:color="auto"/>
                        <w:left w:val="none" w:sz="0" w:space="0" w:color="auto"/>
                        <w:bottom w:val="none" w:sz="0" w:space="0" w:color="auto"/>
                        <w:right w:val="none" w:sz="0" w:space="0" w:color="auto"/>
                      </w:divBdr>
                      <w:divsChild>
                        <w:div w:id="36590161">
                          <w:marLeft w:val="0"/>
                          <w:marRight w:val="0"/>
                          <w:marTop w:val="0"/>
                          <w:marBottom w:val="0"/>
                          <w:divBdr>
                            <w:top w:val="none" w:sz="0" w:space="0" w:color="auto"/>
                            <w:left w:val="none" w:sz="0" w:space="0" w:color="auto"/>
                            <w:bottom w:val="none" w:sz="0" w:space="0" w:color="auto"/>
                            <w:right w:val="none" w:sz="0" w:space="0" w:color="auto"/>
                          </w:divBdr>
                          <w:divsChild>
                            <w:div w:id="481316659">
                              <w:marLeft w:val="0"/>
                              <w:marRight w:val="0"/>
                              <w:marTop w:val="0"/>
                              <w:marBottom w:val="0"/>
                              <w:divBdr>
                                <w:top w:val="none" w:sz="0" w:space="0" w:color="auto"/>
                                <w:left w:val="none" w:sz="0" w:space="0" w:color="auto"/>
                                <w:bottom w:val="none" w:sz="0" w:space="0" w:color="auto"/>
                                <w:right w:val="none" w:sz="0" w:space="0" w:color="auto"/>
                              </w:divBdr>
                              <w:divsChild>
                                <w:div w:id="91011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8753279">
      <w:bodyDiv w:val="1"/>
      <w:marLeft w:val="0"/>
      <w:marRight w:val="0"/>
      <w:marTop w:val="0"/>
      <w:marBottom w:val="0"/>
      <w:divBdr>
        <w:top w:val="none" w:sz="0" w:space="0" w:color="auto"/>
        <w:left w:val="none" w:sz="0" w:space="0" w:color="auto"/>
        <w:bottom w:val="none" w:sz="0" w:space="0" w:color="auto"/>
        <w:right w:val="none" w:sz="0" w:space="0" w:color="auto"/>
      </w:divBdr>
      <w:divsChild>
        <w:div w:id="1500610380">
          <w:marLeft w:val="0"/>
          <w:marRight w:val="0"/>
          <w:marTop w:val="0"/>
          <w:marBottom w:val="0"/>
          <w:divBdr>
            <w:top w:val="none" w:sz="0" w:space="0" w:color="auto"/>
            <w:left w:val="none" w:sz="0" w:space="0" w:color="auto"/>
            <w:bottom w:val="none" w:sz="0" w:space="0" w:color="auto"/>
            <w:right w:val="none" w:sz="0" w:space="0" w:color="auto"/>
          </w:divBdr>
        </w:div>
      </w:divsChild>
    </w:div>
    <w:div w:id="970282085">
      <w:bodyDiv w:val="1"/>
      <w:marLeft w:val="0"/>
      <w:marRight w:val="0"/>
      <w:marTop w:val="0"/>
      <w:marBottom w:val="0"/>
      <w:divBdr>
        <w:top w:val="none" w:sz="0" w:space="0" w:color="auto"/>
        <w:left w:val="none" w:sz="0" w:space="0" w:color="auto"/>
        <w:bottom w:val="none" w:sz="0" w:space="0" w:color="auto"/>
        <w:right w:val="none" w:sz="0" w:space="0" w:color="auto"/>
      </w:divBdr>
    </w:div>
    <w:div w:id="997922234">
      <w:bodyDiv w:val="1"/>
      <w:marLeft w:val="0"/>
      <w:marRight w:val="0"/>
      <w:marTop w:val="0"/>
      <w:marBottom w:val="0"/>
      <w:divBdr>
        <w:top w:val="none" w:sz="0" w:space="0" w:color="auto"/>
        <w:left w:val="none" w:sz="0" w:space="0" w:color="auto"/>
        <w:bottom w:val="none" w:sz="0" w:space="0" w:color="auto"/>
        <w:right w:val="none" w:sz="0" w:space="0" w:color="auto"/>
      </w:divBdr>
    </w:div>
    <w:div w:id="1000233055">
      <w:bodyDiv w:val="1"/>
      <w:marLeft w:val="0"/>
      <w:marRight w:val="0"/>
      <w:marTop w:val="0"/>
      <w:marBottom w:val="0"/>
      <w:divBdr>
        <w:top w:val="none" w:sz="0" w:space="0" w:color="auto"/>
        <w:left w:val="none" w:sz="0" w:space="0" w:color="auto"/>
        <w:bottom w:val="none" w:sz="0" w:space="0" w:color="auto"/>
        <w:right w:val="none" w:sz="0" w:space="0" w:color="auto"/>
      </w:divBdr>
    </w:div>
    <w:div w:id="1011447555">
      <w:bodyDiv w:val="1"/>
      <w:marLeft w:val="0"/>
      <w:marRight w:val="0"/>
      <w:marTop w:val="0"/>
      <w:marBottom w:val="0"/>
      <w:divBdr>
        <w:top w:val="none" w:sz="0" w:space="0" w:color="auto"/>
        <w:left w:val="none" w:sz="0" w:space="0" w:color="auto"/>
        <w:bottom w:val="none" w:sz="0" w:space="0" w:color="auto"/>
        <w:right w:val="none" w:sz="0" w:space="0" w:color="auto"/>
      </w:divBdr>
      <w:divsChild>
        <w:div w:id="484007931">
          <w:marLeft w:val="0"/>
          <w:marRight w:val="0"/>
          <w:marTop w:val="0"/>
          <w:marBottom w:val="0"/>
          <w:divBdr>
            <w:top w:val="none" w:sz="0" w:space="0" w:color="auto"/>
            <w:left w:val="none" w:sz="0" w:space="0" w:color="auto"/>
            <w:bottom w:val="none" w:sz="0" w:space="0" w:color="auto"/>
            <w:right w:val="none" w:sz="0" w:space="0" w:color="auto"/>
          </w:divBdr>
        </w:div>
      </w:divsChild>
    </w:div>
    <w:div w:id="1042482027">
      <w:bodyDiv w:val="1"/>
      <w:marLeft w:val="0"/>
      <w:marRight w:val="0"/>
      <w:marTop w:val="0"/>
      <w:marBottom w:val="0"/>
      <w:divBdr>
        <w:top w:val="none" w:sz="0" w:space="0" w:color="auto"/>
        <w:left w:val="none" w:sz="0" w:space="0" w:color="auto"/>
        <w:bottom w:val="none" w:sz="0" w:space="0" w:color="auto"/>
        <w:right w:val="none" w:sz="0" w:space="0" w:color="auto"/>
      </w:divBdr>
    </w:div>
    <w:div w:id="1055857692">
      <w:bodyDiv w:val="1"/>
      <w:marLeft w:val="0"/>
      <w:marRight w:val="0"/>
      <w:marTop w:val="0"/>
      <w:marBottom w:val="0"/>
      <w:divBdr>
        <w:top w:val="none" w:sz="0" w:space="0" w:color="auto"/>
        <w:left w:val="none" w:sz="0" w:space="0" w:color="auto"/>
        <w:bottom w:val="none" w:sz="0" w:space="0" w:color="auto"/>
        <w:right w:val="none" w:sz="0" w:space="0" w:color="auto"/>
      </w:divBdr>
      <w:divsChild>
        <w:div w:id="1376081924">
          <w:marLeft w:val="0"/>
          <w:marRight w:val="0"/>
          <w:marTop w:val="0"/>
          <w:marBottom w:val="0"/>
          <w:divBdr>
            <w:top w:val="none" w:sz="0" w:space="0" w:color="auto"/>
            <w:left w:val="none" w:sz="0" w:space="0" w:color="auto"/>
            <w:bottom w:val="none" w:sz="0" w:space="0" w:color="auto"/>
            <w:right w:val="none" w:sz="0" w:space="0" w:color="auto"/>
          </w:divBdr>
        </w:div>
      </w:divsChild>
    </w:div>
    <w:div w:id="1079521843">
      <w:bodyDiv w:val="1"/>
      <w:marLeft w:val="0"/>
      <w:marRight w:val="0"/>
      <w:marTop w:val="0"/>
      <w:marBottom w:val="0"/>
      <w:divBdr>
        <w:top w:val="none" w:sz="0" w:space="0" w:color="auto"/>
        <w:left w:val="none" w:sz="0" w:space="0" w:color="auto"/>
        <w:bottom w:val="none" w:sz="0" w:space="0" w:color="auto"/>
        <w:right w:val="none" w:sz="0" w:space="0" w:color="auto"/>
      </w:divBdr>
      <w:divsChild>
        <w:div w:id="1518077340">
          <w:marLeft w:val="0"/>
          <w:marRight w:val="0"/>
          <w:marTop w:val="0"/>
          <w:marBottom w:val="0"/>
          <w:divBdr>
            <w:top w:val="none" w:sz="0" w:space="0" w:color="auto"/>
            <w:left w:val="none" w:sz="0" w:space="0" w:color="auto"/>
            <w:bottom w:val="none" w:sz="0" w:space="0" w:color="auto"/>
            <w:right w:val="none" w:sz="0" w:space="0" w:color="auto"/>
          </w:divBdr>
        </w:div>
      </w:divsChild>
    </w:div>
    <w:div w:id="1081803452">
      <w:bodyDiv w:val="1"/>
      <w:marLeft w:val="0"/>
      <w:marRight w:val="0"/>
      <w:marTop w:val="0"/>
      <w:marBottom w:val="0"/>
      <w:divBdr>
        <w:top w:val="none" w:sz="0" w:space="0" w:color="auto"/>
        <w:left w:val="none" w:sz="0" w:space="0" w:color="auto"/>
        <w:bottom w:val="none" w:sz="0" w:space="0" w:color="auto"/>
        <w:right w:val="none" w:sz="0" w:space="0" w:color="auto"/>
      </w:divBdr>
      <w:divsChild>
        <w:div w:id="380903218">
          <w:marLeft w:val="0"/>
          <w:marRight w:val="0"/>
          <w:marTop w:val="0"/>
          <w:marBottom w:val="0"/>
          <w:divBdr>
            <w:top w:val="none" w:sz="0" w:space="0" w:color="auto"/>
            <w:left w:val="none" w:sz="0" w:space="0" w:color="auto"/>
            <w:bottom w:val="none" w:sz="0" w:space="0" w:color="auto"/>
            <w:right w:val="none" w:sz="0" w:space="0" w:color="auto"/>
          </w:divBdr>
        </w:div>
      </w:divsChild>
    </w:div>
    <w:div w:id="1133791378">
      <w:bodyDiv w:val="1"/>
      <w:marLeft w:val="0"/>
      <w:marRight w:val="0"/>
      <w:marTop w:val="0"/>
      <w:marBottom w:val="0"/>
      <w:divBdr>
        <w:top w:val="none" w:sz="0" w:space="0" w:color="auto"/>
        <w:left w:val="none" w:sz="0" w:space="0" w:color="auto"/>
        <w:bottom w:val="none" w:sz="0" w:space="0" w:color="auto"/>
        <w:right w:val="none" w:sz="0" w:space="0" w:color="auto"/>
      </w:divBdr>
      <w:divsChild>
        <w:div w:id="788011081">
          <w:marLeft w:val="0"/>
          <w:marRight w:val="0"/>
          <w:marTop w:val="0"/>
          <w:marBottom w:val="0"/>
          <w:divBdr>
            <w:top w:val="none" w:sz="0" w:space="0" w:color="auto"/>
            <w:left w:val="none" w:sz="0" w:space="0" w:color="auto"/>
            <w:bottom w:val="none" w:sz="0" w:space="0" w:color="auto"/>
            <w:right w:val="none" w:sz="0" w:space="0" w:color="auto"/>
          </w:divBdr>
        </w:div>
      </w:divsChild>
    </w:div>
    <w:div w:id="1238906583">
      <w:bodyDiv w:val="1"/>
      <w:marLeft w:val="0"/>
      <w:marRight w:val="0"/>
      <w:marTop w:val="0"/>
      <w:marBottom w:val="0"/>
      <w:divBdr>
        <w:top w:val="none" w:sz="0" w:space="0" w:color="auto"/>
        <w:left w:val="none" w:sz="0" w:space="0" w:color="auto"/>
        <w:bottom w:val="none" w:sz="0" w:space="0" w:color="auto"/>
        <w:right w:val="none" w:sz="0" w:space="0" w:color="auto"/>
      </w:divBdr>
      <w:divsChild>
        <w:div w:id="1228999602">
          <w:marLeft w:val="0"/>
          <w:marRight w:val="0"/>
          <w:marTop w:val="0"/>
          <w:marBottom w:val="0"/>
          <w:divBdr>
            <w:top w:val="none" w:sz="0" w:space="0" w:color="auto"/>
            <w:left w:val="none" w:sz="0" w:space="0" w:color="auto"/>
            <w:bottom w:val="none" w:sz="0" w:space="0" w:color="auto"/>
            <w:right w:val="none" w:sz="0" w:space="0" w:color="auto"/>
          </w:divBdr>
        </w:div>
      </w:divsChild>
    </w:div>
    <w:div w:id="1239751853">
      <w:bodyDiv w:val="1"/>
      <w:marLeft w:val="0"/>
      <w:marRight w:val="0"/>
      <w:marTop w:val="0"/>
      <w:marBottom w:val="0"/>
      <w:divBdr>
        <w:top w:val="none" w:sz="0" w:space="0" w:color="auto"/>
        <w:left w:val="none" w:sz="0" w:space="0" w:color="auto"/>
        <w:bottom w:val="none" w:sz="0" w:space="0" w:color="auto"/>
        <w:right w:val="none" w:sz="0" w:space="0" w:color="auto"/>
      </w:divBdr>
      <w:divsChild>
        <w:div w:id="1524127832">
          <w:marLeft w:val="0"/>
          <w:marRight w:val="0"/>
          <w:marTop w:val="0"/>
          <w:marBottom w:val="0"/>
          <w:divBdr>
            <w:top w:val="none" w:sz="0" w:space="0" w:color="auto"/>
            <w:left w:val="none" w:sz="0" w:space="0" w:color="auto"/>
            <w:bottom w:val="none" w:sz="0" w:space="0" w:color="auto"/>
            <w:right w:val="none" w:sz="0" w:space="0" w:color="auto"/>
          </w:divBdr>
        </w:div>
      </w:divsChild>
    </w:div>
    <w:div w:id="1260214402">
      <w:bodyDiv w:val="1"/>
      <w:marLeft w:val="0"/>
      <w:marRight w:val="0"/>
      <w:marTop w:val="0"/>
      <w:marBottom w:val="0"/>
      <w:divBdr>
        <w:top w:val="none" w:sz="0" w:space="0" w:color="auto"/>
        <w:left w:val="none" w:sz="0" w:space="0" w:color="auto"/>
        <w:bottom w:val="none" w:sz="0" w:space="0" w:color="auto"/>
        <w:right w:val="none" w:sz="0" w:space="0" w:color="auto"/>
      </w:divBdr>
      <w:divsChild>
        <w:div w:id="51389798">
          <w:marLeft w:val="0"/>
          <w:marRight w:val="0"/>
          <w:marTop w:val="0"/>
          <w:marBottom w:val="0"/>
          <w:divBdr>
            <w:top w:val="none" w:sz="0" w:space="0" w:color="auto"/>
            <w:left w:val="none" w:sz="0" w:space="0" w:color="auto"/>
            <w:bottom w:val="none" w:sz="0" w:space="0" w:color="auto"/>
            <w:right w:val="none" w:sz="0" w:space="0" w:color="auto"/>
          </w:divBdr>
        </w:div>
      </w:divsChild>
    </w:div>
    <w:div w:id="1270746287">
      <w:bodyDiv w:val="1"/>
      <w:marLeft w:val="0"/>
      <w:marRight w:val="0"/>
      <w:marTop w:val="0"/>
      <w:marBottom w:val="0"/>
      <w:divBdr>
        <w:top w:val="none" w:sz="0" w:space="0" w:color="auto"/>
        <w:left w:val="none" w:sz="0" w:space="0" w:color="auto"/>
        <w:bottom w:val="none" w:sz="0" w:space="0" w:color="auto"/>
        <w:right w:val="none" w:sz="0" w:space="0" w:color="auto"/>
      </w:divBdr>
      <w:divsChild>
        <w:div w:id="938489631">
          <w:marLeft w:val="0"/>
          <w:marRight w:val="0"/>
          <w:marTop w:val="0"/>
          <w:marBottom w:val="0"/>
          <w:divBdr>
            <w:top w:val="none" w:sz="0" w:space="0" w:color="auto"/>
            <w:left w:val="none" w:sz="0" w:space="0" w:color="auto"/>
            <w:bottom w:val="none" w:sz="0" w:space="0" w:color="auto"/>
            <w:right w:val="none" w:sz="0" w:space="0" w:color="auto"/>
          </w:divBdr>
        </w:div>
      </w:divsChild>
    </w:div>
    <w:div w:id="1325039586">
      <w:bodyDiv w:val="1"/>
      <w:marLeft w:val="0"/>
      <w:marRight w:val="0"/>
      <w:marTop w:val="0"/>
      <w:marBottom w:val="0"/>
      <w:divBdr>
        <w:top w:val="none" w:sz="0" w:space="0" w:color="auto"/>
        <w:left w:val="none" w:sz="0" w:space="0" w:color="auto"/>
        <w:bottom w:val="none" w:sz="0" w:space="0" w:color="auto"/>
        <w:right w:val="none" w:sz="0" w:space="0" w:color="auto"/>
      </w:divBdr>
    </w:div>
    <w:div w:id="1340698581">
      <w:bodyDiv w:val="1"/>
      <w:marLeft w:val="0"/>
      <w:marRight w:val="0"/>
      <w:marTop w:val="0"/>
      <w:marBottom w:val="0"/>
      <w:divBdr>
        <w:top w:val="none" w:sz="0" w:space="0" w:color="auto"/>
        <w:left w:val="none" w:sz="0" w:space="0" w:color="auto"/>
        <w:bottom w:val="none" w:sz="0" w:space="0" w:color="auto"/>
        <w:right w:val="none" w:sz="0" w:space="0" w:color="auto"/>
      </w:divBdr>
    </w:div>
    <w:div w:id="1345403028">
      <w:bodyDiv w:val="1"/>
      <w:marLeft w:val="0"/>
      <w:marRight w:val="0"/>
      <w:marTop w:val="0"/>
      <w:marBottom w:val="0"/>
      <w:divBdr>
        <w:top w:val="none" w:sz="0" w:space="0" w:color="auto"/>
        <w:left w:val="none" w:sz="0" w:space="0" w:color="auto"/>
        <w:bottom w:val="none" w:sz="0" w:space="0" w:color="auto"/>
        <w:right w:val="none" w:sz="0" w:space="0" w:color="auto"/>
      </w:divBdr>
      <w:divsChild>
        <w:div w:id="1699624389">
          <w:marLeft w:val="0"/>
          <w:marRight w:val="0"/>
          <w:marTop w:val="0"/>
          <w:marBottom w:val="0"/>
          <w:divBdr>
            <w:top w:val="none" w:sz="0" w:space="0" w:color="auto"/>
            <w:left w:val="none" w:sz="0" w:space="0" w:color="auto"/>
            <w:bottom w:val="none" w:sz="0" w:space="0" w:color="auto"/>
            <w:right w:val="none" w:sz="0" w:space="0" w:color="auto"/>
          </w:divBdr>
        </w:div>
      </w:divsChild>
    </w:div>
    <w:div w:id="1361009270">
      <w:bodyDiv w:val="1"/>
      <w:marLeft w:val="0"/>
      <w:marRight w:val="0"/>
      <w:marTop w:val="0"/>
      <w:marBottom w:val="0"/>
      <w:divBdr>
        <w:top w:val="none" w:sz="0" w:space="0" w:color="auto"/>
        <w:left w:val="none" w:sz="0" w:space="0" w:color="auto"/>
        <w:bottom w:val="none" w:sz="0" w:space="0" w:color="auto"/>
        <w:right w:val="none" w:sz="0" w:space="0" w:color="auto"/>
      </w:divBdr>
    </w:div>
    <w:div w:id="1372606407">
      <w:bodyDiv w:val="1"/>
      <w:marLeft w:val="0"/>
      <w:marRight w:val="0"/>
      <w:marTop w:val="0"/>
      <w:marBottom w:val="0"/>
      <w:divBdr>
        <w:top w:val="none" w:sz="0" w:space="0" w:color="auto"/>
        <w:left w:val="none" w:sz="0" w:space="0" w:color="auto"/>
        <w:bottom w:val="none" w:sz="0" w:space="0" w:color="auto"/>
        <w:right w:val="none" w:sz="0" w:space="0" w:color="auto"/>
      </w:divBdr>
      <w:divsChild>
        <w:div w:id="2008240249">
          <w:marLeft w:val="0"/>
          <w:marRight w:val="0"/>
          <w:marTop w:val="0"/>
          <w:marBottom w:val="0"/>
          <w:divBdr>
            <w:top w:val="none" w:sz="0" w:space="0" w:color="auto"/>
            <w:left w:val="none" w:sz="0" w:space="0" w:color="auto"/>
            <w:bottom w:val="none" w:sz="0" w:space="0" w:color="auto"/>
            <w:right w:val="none" w:sz="0" w:space="0" w:color="auto"/>
          </w:divBdr>
        </w:div>
      </w:divsChild>
    </w:div>
    <w:div w:id="1392388872">
      <w:bodyDiv w:val="1"/>
      <w:marLeft w:val="0"/>
      <w:marRight w:val="0"/>
      <w:marTop w:val="0"/>
      <w:marBottom w:val="0"/>
      <w:divBdr>
        <w:top w:val="none" w:sz="0" w:space="0" w:color="auto"/>
        <w:left w:val="none" w:sz="0" w:space="0" w:color="auto"/>
        <w:bottom w:val="none" w:sz="0" w:space="0" w:color="auto"/>
        <w:right w:val="none" w:sz="0" w:space="0" w:color="auto"/>
      </w:divBdr>
      <w:divsChild>
        <w:div w:id="1989820276">
          <w:marLeft w:val="0"/>
          <w:marRight w:val="0"/>
          <w:marTop w:val="0"/>
          <w:marBottom w:val="0"/>
          <w:divBdr>
            <w:top w:val="none" w:sz="0" w:space="0" w:color="auto"/>
            <w:left w:val="none" w:sz="0" w:space="0" w:color="auto"/>
            <w:bottom w:val="none" w:sz="0" w:space="0" w:color="auto"/>
            <w:right w:val="none" w:sz="0" w:space="0" w:color="auto"/>
          </w:divBdr>
        </w:div>
      </w:divsChild>
    </w:div>
    <w:div w:id="1400444166">
      <w:bodyDiv w:val="1"/>
      <w:marLeft w:val="0"/>
      <w:marRight w:val="0"/>
      <w:marTop w:val="0"/>
      <w:marBottom w:val="0"/>
      <w:divBdr>
        <w:top w:val="none" w:sz="0" w:space="0" w:color="auto"/>
        <w:left w:val="none" w:sz="0" w:space="0" w:color="auto"/>
        <w:bottom w:val="none" w:sz="0" w:space="0" w:color="auto"/>
        <w:right w:val="none" w:sz="0" w:space="0" w:color="auto"/>
      </w:divBdr>
      <w:divsChild>
        <w:div w:id="1147164687">
          <w:marLeft w:val="0"/>
          <w:marRight w:val="0"/>
          <w:marTop w:val="0"/>
          <w:marBottom w:val="0"/>
          <w:divBdr>
            <w:top w:val="none" w:sz="0" w:space="0" w:color="auto"/>
            <w:left w:val="none" w:sz="0" w:space="0" w:color="auto"/>
            <w:bottom w:val="none" w:sz="0" w:space="0" w:color="auto"/>
            <w:right w:val="none" w:sz="0" w:space="0" w:color="auto"/>
          </w:divBdr>
        </w:div>
      </w:divsChild>
    </w:div>
    <w:div w:id="1413045451">
      <w:bodyDiv w:val="1"/>
      <w:marLeft w:val="0"/>
      <w:marRight w:val="0"/>
      <w:marTop w:val="0"/>
      <w:marBottom w:val="0"/>
      <w:divBdr>
        <w:top w:val="none" w:sz="0" w:space="0" w:color="auto"/>
        <w:left w:val="none" w:sz="0" w:space="0" w:color="auto"/>
        <w:bottom w:val="none" w:sz="0" w:space="0" w:color="auto"/>
        <w:right w:val="none" w:sz="0" w:space="0" w:color="auto"/>
      </w:divBdr>
      <w:divsChild>
        <w:div w:id="565723386">
          <w:marLeft w:val="0"/>
          <w:marRight w:val="0"/>
          <w:marTop w:val="0"/>
          <w:marBottom w:val="0"/>
          <w:divBdr>
            <w:top w:val="none" w:sz="0" w:space="0" w:color="auto"/>
            <w:left w:val="none" w:sz="0" w:space="0" w:color="auto"/>
            <w:bottom w:val="none" w:sz="0" w:space="0" w:color="auto"/>
            <w:right w:val="none" w:sz="0" w:space="0" w:color="auto"/>
          </w:divBdr>
        </w:div>
      </w:divsChild>
    </w:div>
    <w:div w:id="1444494896">
      <w:bodyDiv w:val="1"/>
      <w:marLeft w:val="0"/>
      <w:marRight w:val="0"/>
      <w:marTop w:val="0"/>
      <w:marBottom w:val="0"/>
      <w:divBdr>
        <w:top w:val="none" w:sz="0" w:space="0" w:color="auto"/>
        <w:left w:val="none" w:sz="0" w:space="0" w:color="auto"/>
        <w:bottom w:val="none" w:sz="0" w:space="0" w:color="auto"/>
        <w:right w:val="none" w:sz="0" w:space="0" w:color="auto"/>
      </w:divBdr>
      <w:divsChild>
        <w:div w:id="858160866">
          <w:marLeft w:val="0"/>
          <w:marRight w:val="0"/>
          <w:marTop w:val="0"/>
          <w:marBottom w:val="0"/>
          <w:divBdr>
            <w:top w:val="none" w:sz="0" w:space="0" w:color="auto"/>
            <w:left w:val="none" w:sz="0" w:space="0" w:color="auto"/>
            <w:bottom w:val="none" w:sz="0" w:space="0" w:color="auto"/>
            <w:right w:val="none" w:sz="0" w:space="0" w:color="auto"/>
          </w:divBdr>
        </w:div>
      </w:divsChild>
    </w:div>
    <w:div w:id="1454594504">
      <w:bodyDiv w:val="1"/>
      <w:marLeft w:val="0"/>
      <w:marRight w:val="0"/>
      <w:marTop w:val="0"/>
      <w:marBottom w:val="0"/>
      <w:divBdr>
        <w:top w:val="none" w:sz="0" w:space="0" w:color="auto"/>
        <w:left w:val="none" w:sz="0" w:space="0" w:color="auto"/>
        <w:bottom w:val="none" w:sz="0" w:space="0" w:color="auto"/>
        <w:right w:val="none" w:sz="0" w:space="0" w:color="auto"/>
      </w:divBdr>
      <w:divsChild>
        <w:div w:id="543949910">
          <w:marLeft w:val="0"/>
          <w:marRight w:val="0"/>
          <w:marTop w:val="0"/>
          <w:marBottom w:val="0"/>
          <w:divBdr>
            <w:top w:val="none" w:sz="0" w:space="0" w:color="auto"/>
            <w:left w:val="none" w:sz="0" w:space="0" w:color="auto"/>
            <w:bottom w:val="none" w:sz="0" w:space="0" w:color="auto"/>
            <w:right w:val="none" w:sz="0" w:space="0" w:color="auto"/>
          </w:divBdr>
        </w:div>
      </w:divsChild>
    </w:div>
    <w:div w:id="1492284293">
      <w:bodyDiv w:val="1"/>
      <w:marLeft w:val="0"/>
      <w:marRight w:val="0"/>
      <w:marTop w:val="0"/>
      <w:marBottom w:val="0"/>
      <w:divBdr>
        <w:top w:val="none" w:sz="0" w:space="0" w:color="auto"/>
        <w:left w:val="none" w:sz="0" w:space="0" w:color="auto"/>
        <w:bottom w:val="none" w:sz="0" w:space="0" w:color="auto"/>
        <w:right w:val="none" w:sz="0" w:space="0" w:color="auto"/>
      </w:divBdr>
      <w:divsChild>
        <w:div w:id="392390435">
          <w:marLeft w:val="0"/>
          <w:marRight w:val="0"/>
          <w:marTop w:val="0"/>
          <w:marBottom w:val="0"/>
          <w:divBdr>
            <w:top w:val="none" w:sz="0" w:space="0" w:color="auto"/>
            <w:left w:val="none" w:sz="0" w:space="0" w:color="auto"/>
            <w:bottom w:val="none" w:sz="0" w:space="0" w:color="auto"/>
            <w:right w:val="none" w:sz="0" w:space="0" w:color="auto"/>
          </w:divBdr>
        </w:div>
      </w:divsChild>
    </w:div>
    <w:div w:id="1516188786">
      <w:bodyDiv w:val="1"/>
      <w:marLeft w:val="0"/>
      <w:marRight w:val="0"/>
      <w:marTop w:val="0"/>
      <w:marBottom w:val="0"/>
      <w:divBdr>
        <w:top w:val="none" w:sz="0" w:space="0" w:color="auto"/>
        <w:left w:val="none" w:sz="0" w:space="0" w:color="auto"/>
        <w:bottom w:val="none" w:sz="0" w:space="0" w:color="auto"/>
        <w:right w:val="none" w:sz="0" w:space="0" w:color="auto"/>
      </w:divBdr>
      <w:divsChild>
        <w:div w:id="133258782">
          <w:marLeft w:val="0"/>
          <w:marRight w:val="0"/>
          <w:marTop w:val="0"/>
          <w:marBottom w:val="0"/>
          <w:divBdr>
            <w:top w:val="none" w:sz="0" w:space="0" w:color="auto"/>
            <w:left w:val="none" w:sz="0" w:space="0" w:color="auto"/>
            <w:bottom w:val="none" w:sz="0" w:space="0" w:color="auto"/>
            <w:right w:val="none" w:sz="0" w:space="0" w:color="auto"/>
          </w:divBdr>
        </w:div>
      </w:divsChild>
    </w:div>
    <w:div w:id="1516457790">
      <w:bodyDiv w:val="1"/>
      <w:marLeft w:val="0"/>
      <w:marRight w:val="0"/>
      <w:marTop w:val="0"/>
      <w:marBottom w:val="0"/>
      <w:divBdr>
        <w:top w:val="none" w:sz="0" w:space="0" w:color="auto"/>
        <w:left w:val="none" w:sz="0" w:space="0" w:color="auto"/>
        <w:bottom w:val="none" w:sz="0" w:space="0" w:color="auto"/>
        <w:right w:val="none" w:sz="0" w:space="0" w:color="auto"/>
      </w:divBdr>
    </w:div>
    <w:div w:id="1540161876">
      <w:bodyDiv w:val="1"/>
      <w:marLeft w:val="0"/>
      <w:marRight w:val="0"/>
      <w:marTop w:val="0"/>
      <w:marBottom w:val="0"/>
      <w:divBdr>
        <w:top w:val="none" w:sz="0" w:space="0" w:color="auto"/>
        <w:left w:val="none" w:sz="0" w:space="0" w:color="auto"/>
        <w:bottom w:val="none" w:sz="0" w:space="0" w:color="auto"/>
        <w:right w:val="none" w:sz="0" w:space="0" w:color="auto"/>
      </w:divBdr>
      <w:divsChild>
        <w:div w:id="645941032">
          <w:marLeft w:val="0"/>
          <w:marRight w:val="0"/>
          <w:marTop w:val="0"/>
          <w:marBottom w:val="0"/>
          <w:divBdr>
            <w:top w:val="none" w:sz="0" w:space="0" w:color="auto"/>
            <w:left w:val="none" w:sz="0" w:space="0" w:color="auto"/>
            <w:bottom w:val="none" w:sz="0" w:space="0" w:color="auto"/>
            <w:right w:val="none" w:sz="0" w:space="0" w:color="auto"/>
          </w:divBdr>
        </w:div>
      </w:divsChild>
    </w:div>
    <w:div w:id="1562598151">
      <w:bodyDiv w:val="1"/>
      <w:marLeft w:val="0"/>
      <w:marRight w:val="0"/>
      <w:marTop w:val="0"/>
      <w:marBottom w:val="0"/>
      <w:divBdr>
        <w:top w:val="none" w:sz="0" w:space="0" w:color="auto"/>
        <w:left w:val="none" w:sz="0" w:space="0" w:color="auto"/>
        <w:bottom w:val="none" w:sz="0" w:space="0" w:color="auto"/>
        <w:right w:val="none" w:sz="0" w:space="0" w:color="auto"/>
      </w:divBdr>
    </w:div>
    <w:div w:id="1572887020">
      <w:bodyDiv w:val="1"/>
      <w:marLeft w:val="0"/>
      <w:marRight w:val="0"/>
      <w:marTop w:val="0"/>
      <w:marBottom w:val="0"/>
      <w:divBdr>
        <w:top w:val="none" w:sz="0" w:space="0" w:color="auto"/>
        <w:left w:val="none" w:sz="0" w:space="0" w:color="auto"/>
        <w:bottom w:val="none" w:sz="0" w:space="0" w:color="auto"/>
        <w:right w:val="none" w:sz="0" w:space="0" w:color="auto"/>
      </w:divBdr>
      <w:divsChild>
        <w:div w:id="364258556">
          <w:marLeft w:val="0"/>
          <w:marRight w:val="0"/>
          <w:marTop w:val="0"/>
          <w:marBottom w:val="0"/>
          <w:divBdr>
            <w:top w:val="none" w:sz="0" w:space="0" w:color="auto"/>
            <w:left w:val="none" w:sz="0" w:space="0" w:color="auto"/>
            <w:bottom w:val="none" w:sz="0" w:space="0" w:color="auto"/>
            <w:right w:val="none" w:sz="0" w:space="0" w:color="auto"/>
          </w:divBdr>
        </w:div>
      </w:divsChild>
    </w:div>
    <w:div w:id="1580404776">
      <w:bodyDiv w:val="1"/>
      <w:marLeft w:val="0"/>
      <w:marRight w:val="0"/>
      <w:marTop w:val="0"/>
      <w:marBottom w:val="0"/>
      <w:divBdr>
        <w:top w:val="none" w:sz="0" w:space="0" w:color="auto"/>
        <w:left w:val="none" w:sz="0" w:space="0" w:color="auto"/>
        <w:bottom w:val="none" w:sz="0" w:space="0" w:color="auto"/>
        <w:right w:val="none" w:sz="0" w:space="0" w:color="auto"/>
      </w:divBdr>
    </w:div>
    <w:div w:id="1648243235">
      <w:bodyDiv w:val="1"/>
      <w:marLeft w:val="0"/>
      <w:marRight w:val="0"/>
      <w:marTop w:val="0"/>
      <w:marBottom w:val="0"/>
      <w:divBdr>
        <w:top w:val="none" w:sz="0" w:space="0" w:color="auto"/>
        <w:left w:val="none" w:sz="0" w:space="0" w:color="auto"/>
        <w:bottom w:val="none" w:sz="0" w:space="0" w:color="auto"/>
        <w:right w:val="none" w:sz="0" w:space="0" w:color="auto"/>
      </w:divBdr>
      <w:divsChild>
        <w:div w:id="1314212114">
          <w:marLeft w:val="0"/>
          <w:marRight w:val="0"/>
          <w:marTop w:val="0"/>
          <w:marBottom w:val="0"/>
          <w:divBdr>
            <w:top w:val="none" w:sz="0" w:space="0" w:color="auto"/>
            <w:left w:val="none" w:sz="0" w:space="0" w:color="auto"/>
            <w:bottom w:val="none" w:sz="0" w:space="0" w:color="auto"/>
            <w:right w:val="none" w:sz="0" w:space="0" w:color="auto"/>
          </w:divBdr>
          <w:divsChild>
            <w:div w:id="1830293113">
              <w:marLeft w:val="0"/>
              <w:marRight w:val="0"/>
              <w:marTop w:val="0"/>
              <w:marBottom w:val="0"/>
              <w:divBdr>
                <w:top w:val="none" w:sz="0" w:space="0" w:color="auto"/>
                <w:left w:val="none" w:sz="0" w:space="0" w:color="auto"/>
                <w:bottom w:val="none" w:sz="0" w:space="0" w:color="auto"/>
                <w:right w:val="none" w:sz="0" w:space="0" w:color="auto"/>
              </w:divBdr>
              <w:divsChild>
                <w:div w:id="2016299696">
                  <w:marLeft w:val="0"/>
                  <w:marRight w:val="0"/>
                  <w:marTop w:val="0"/>
                  <w:marBottom w:val="0"/>
                  <w:divBdr>
                    <w:top w:val="none" w:sz="0" w:space="0" w:color="auto"/>
                    <w:left w:val="none" w:sz="0" w:space="0" w:color="auto"/>
                    <w:bottom w:val="none" w:sz="0" w:space="0" w:color="auto"/>
                    <w:right w:val="none" w:sz="0" w:space="0" w:color="auto"/>
                  </w:divBdr>
                  <w:divsChild>
                    <w:div w:id="1859735490">
                      <w:marLeft w:val="0"/>
                      <w:marRight w:val="0"/>
                      <w:marTop w:val="0"/>
                      <w:marBottom w:val="0"/>
                      <w:divBdr>
                        <w:top w:val="none" w:sz="0" w:space="0" w:color="auto"/>
                        <w:left w:val="none" w:sz="0" w:space="0" w:color="auto"/>
                        <w:bottom w:val="none" w:sz="0" w:space="0" w:color="auto"/>
                        <w:right w:val="none" w:sz="0" w:space="0" w:color="auto"/>
                      </w:divBdr>
                      <w:divsChild>
                        <w:div w:id="1422868147">
                          <w:marLeft w:val="0"/>
                          <w:marRight w:val="0"/>
                          <w:marTop w:val="0"/>
                          <w:marBottom w:val="0"/>
                          <w:divBdr>
                            <w:top w:val="none" w:sz="0" w:space="0" w:color="auto"/>
                            <w:left w:val="none" w:sz="0" w:space="0" w:color="auto"/>
                            <w:bottom w:val="none" w:sz="0" w:space="0" w:color="auto"/>
                            <w:right w:val="none" w:sz="0" w:space="0" w:color="auto"/>
                          </w:divBdr>
                          <w:divsChild>
                            <w:div w:id="921111732">
                              <w:marLeft w:val="0"/>
                              <w:marRight w:val="0"/>
                              <w:marTop w:val="0"/>
                              <w:marBottom w:val="0"/>
                              <w:divBdr>
                                <w:top w:val="none" w:sz="0" w:space="0" w:color="auto"/>
                                <w:left w:val="none" w:sz="0" w:space="0" w:color="auto"/>
                                <w:bottom w:val="none" w:sz="0" w:space="0" w:color="auto"/>
                                <w:right w:val="none" w:sz="0" w:space="0" w:color="auto"/>
                              </w:divBdr>
                              <w:divsChild>
                                <w:div w:id="1936788022">
                                  <w:marLeft w:val="0"/>
                                  <w:marRight w:val="0"/>
                                  <w:marTop w:val="0"/>
                                  <w:marBottom w:val="0"/>
                                  <w:divBdr>
                                    <w:top w:val="none" w:sz="0" w:space="0" w:color="auto"/>
                                    <w:left w:val="none" w:sz="0" w:space="0" w:color="auto"/>
                                    <w:bottom w:val="none" w:sz="0" w:space="0" w:color="auto"/>
                                    <w:right w:val="none" w:sz="0" w:space="0" w:color="auto"/>
                                  </w:divBdr>
                                  <w:divsChild>
                                    <w:div w:id="15345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9114728">
      <w:bodyDiv w:val="1"/>
      <w:marLeft w:val="0"/>
      <w:marRight w:val="0"/>
      <w:marTop w:val="0"/>
      <w:marBottom w:val="0"/>
      <w:divBdr>
        <w:top w:val="none" w:sz="0" w:space="0" w:color="auto"/>
        <w:left w:val="none" w:sz="0" w:space="0" w:color="auto"/>
        <w:bottom w:val="none" w:sz="0" w:space="0" w:color="auto"/>
        <w:right w:val="none" w:sz="0" w:space="0" w:color="auto"/>
      </w:divBdr>
      <w:divsChild>
        <w:div w:id="1676686119">
          <w:marLeft w:val="0"/>
          <w:marRight w:val="0"/>
          <w:marTop w:val="0"/>
          <w:marBottom w:val="0"/>
          <w:divBdr>
            <w:top w:val="none" w:sz="0" w:space="0" w:color="auto"/>
            <w:left w:val="none" w:sz="0" w:space="0" w:color="auto"/>
            <w:bottom w:val="none" w:sz="0" w:space="0" w:color="auto"/>
            <w:right w:val="none" w:sz="0" w:space="0" w:color="auto"/>
          </w:divBdr>
        </w:div>
      </w:divsChild>
    </w:div>
    <w:div w:id="1686587944">
      <w:bodyDiv w:val="1"/>
      <w:marLeft w:val="0"/>
      <w:marRight w:val="0"/>
      <w:marTop w:val="0"/>
      <w:marBottom w:val="0"/>
      <w:divBdr>
        <w:top w:val="none" w:sz="0" w:space="0" w:color="auto"/>
        <w:left w:val="none" w:sz="0" w:space="0" w:color="auto"/>
        <w:bottom w:val="none" w:sz="0" w:space="0" w:color="auto"/>
        <w:right w:val="none" w:sz="0" w:space="0" w:color="auto"/>
      </w:divBdr>
      <w:divsChild>
        <w:div w:id="948973607">
          <w:marLeft w:val="0"/>
          <w:marRight w:val="0"/>
          <w:marTop w:val="0"/>
          <w:marBottom w:val="0"/>
          <w:divBdr>
            <w:top w:val="none" w:sz="0" w:space="0" w:color="auto"/>
            <w:left w:val="none" w:sz="0" w:space="0" w:color="auto"/>
            <w:bottom w:val="none" w:sz="0" w:space="0" w:color="auto"/>
            <w:right w:val="none" w:sz="0" w:space="0" w:color="auto"/>
          </w:divBdr>
        </w:div>
      </w:divsChild>
    </w:div>
    <w:div w:id="1692493298">
      <w:bodyDiv w:val="1"/>
      <w:marLeft w:val="0"/>
      <w:marRight w:val="0"/>
      <w:marTop w:val="0"/>
      <w:marBottom w:val="0"/>
      <w:divBdr>
        <w:top w:val="none" w:sz="0" w:space="0" w:color="auto"/>
        <w:left w:val="none" w:sz="0" w:space="0" w:color="auto"/>
        <w:bottom w:val="none" w:sz="0" w:space="0" w:color="auto"/>
        <w:right w:val="none" w:sz="0" w:space="0" w:color="auto"/>
      </w:divBdr>
    </w:div>
    <w:div w:id="1708141557">
      <w:bodyDiv w:val="1"/>
      <w:marLeft w:val="0"/>
      <w:marRight w:val="0"/>
      <w:marTop w:val="0"/>
      <w:marBottom w:val="0"/>
      <w:divBdr>
        <w:top w:val="none" w:sz="0" w:space="0" w:color="auto"/>
        <w:left w:val="none" w:sz="0" w:space="0" w:color="auto"/>
        <w:bottom w:val="none" w:sz="0" w:space="0" w:color="auto"/>
        <w:right w:val="none" w:sz="0" w:space="0" w:color="auto"/>
      </w:divBdr>
    </w:div>
    <w:div w:id="1771464818">
      <w:bodyDiv w:val="1"/>
      <w:marLeft w:val="0"/>
      <w:marRight w:val="0"/>
      <w:marTop w:val="0"/>
      <w:marBottom w:val="0"/>
      <w:divBdr>
        <w:top w:val="none" w:sz="0" w:space="0" w:color="auto"/>
        <w:left w:val="none" w:sz="0" w:space="0" w:color="auto"/>
        <w:bottom w:val="none" w:sz="0" w:space="0" w:color="auto"/>
        <w:right w:val="none" w:sz="0" w:space="0" w:color="auto"/>
      </w:divBdr>
    </w:div>
    <w:div w:id="1785030442">
      <w:bodyDiv w:val="1"/>
      <w:marLeft w:val="0"/>
      <w:marRight w:val="0"/>
      <w:marTop w:val="0"/>
      <w:marBottom w:val="0"/>
      <w:divBdr>
        <w:top w:val="none" w:sz="0" w:space="0" w:color="auto"/>
        <w:left w:val="none" w:sz="0" w:space="0" w:color="auto"/>
        <w:bottom w:val="none" w:sz="0" w:space="0" w:color="auto"/>
        <w:right w:val="none" w:sz="0" w:space="0" w:color="auto"/>
      </w:divBdr>
      <w:divsChild>
        <w:div w:id="300499995">
          <w:marLeft w:val="0"/>
          <w:marRight w:val="0"/>
          <w:marTop w:val="0"/>
          <w:marBottom w:val="0"/>
          <w:divBdr>
            <w:top w:val="none" w:sz="0" w:space="0" w:color="auto"/>
            <w:left w:val="none" w:sz="0" w:space="0" w:color="auto"/>
            <w:bottom w:val="none" w:sz="0" w:space="0" w:color="auto"/>
            <w:right w:val="none" w:sz="0" w:space="0" w:color="auto"/>
          </w:divBdr>
        </w:div>
      </w:divsChild>
    </w:div>
    <w:div w:id="1792749881">
      <w:bodyDiv w:val="1"/>
      <w:marLeft w:val="0"/>
      <w:marRight w:val="0"/>
      <w:marTop w:val="0"/>
      <w:marBottom w:val="0"/>
      <w:divBdr>
        <w:top w:val="none" w:sz="0" w:space="0" w:color="auto"/>
        <w:left w:val="none" w:sz="0" w:space="0" w:color="auto"/>
        <w:bottom w:val="none" w:sz="0" w:space="0" w:color="auto"/>
        <w:right w:val="none" w:sz="0" w:space="0" w:color="auto"/>
      </w:divBdr>
      <w:divsChild>
        <w:div w:id="777990030">
          <w:marLeft w:val="0"/>
          <w:marRight w:val="0"/>
          <w:marTop w:val="0"/>
          <w:marBottom w:val="0"/>
          <w:divBdr>
            <w:top w:val="none" w:sz="0" w:space="0" w:color="auto"/>
            <w:left w:val="none" w:sz="0" w:space="0" w:color="auto"/>
            <w:bottom w:val="none" w:sz="0" w:space="0" w:color="auto"/>
            <w:right w:val="none" w:sz="0" w:space="0" w:color="auto"/>
          </w:divBdr>
        </w:div>
      </w:divsChild>
    </w:div>
    <w:div w:id="1828742095">
      <w:bodyDiv w:val="1"/>
      <w:marLeft w:val="0"/>
      <w:marRight w:val="0"/>
      <w:marTop w:val="0"/>
      <w:marBottom w:val="0"/>
      <w:divBdr>
        <w:top w:val="none" w:sz="0" w:space="0" w:color="auto"/>
        <w:left w:val="none" w:sz="0" w:space="0" w:color="auto"/>
        <w:bottom w:val="none" w:sz="0" w:space="0" w:color="auto"/>
        <w:right w:val="none" w:sz="0" w:space="0" w:color="auto"/>
      </w:divBdr>
    </w:div>
    <w:div w:id="1858501804">
      <w:bodyDiv w:val="1"/>
      <w:marLeft w:val="0"/>
      <w:marRight w:val="0"/>
      <w:marTop w:val="0"/>
      <w:marBottom w:val="0"/>
      <w:divBdr>
        <w:top w:val="none" w:sz="0" w:space="0" w:color="auto"/>
        <w:left w:val="none" w:sz="0" w:space="0" w:color="auto"/>
        <w:bottom w:val="none" w:sz="0" w:space="0" w:color="auto"/>
        <w:right w:val="none" w:sz="0" w:space="0" w:color="auto"/>
      </w:divBdr>
      <w:divsChild>
        <w:div w:id="1749889140">
          <w:marLeft w:val="0"/>
          <w:marRight w:val="0"/>
          <w:marTop w:val="0"/>
          <w:marBottom w:val="0"/>
          <w:divBdr>
            <w:top w:val="none" w:sz="0" w:space="0" w:color="auto"/>
            <w:left w:val="none" w:sz="0" w:space="0" w:color="auto"/>
            <w:bottom w:val="none" w:sz="0" w:space="0" w:color="auto"/>
            <w:right w:val="none" w:sz="0" w:space="0" w:color="auto"/>
          </w:divBdr>
        </w:div>
      </w:divsChild>
    </w:div>
    <w:div w:id="1956134223">
      <w:bodyDiv w:val="1"/>
      <w:marLeft w:val="0"/>
      <w:marRight w:val="0"/>
      <w:marTop w:val="0"/>
      <w:marBottom w:val="0"/>
      <w:divBdr>
        <w:top w:val="none" w:sz="0" w:space="0" w:color="auto"/>
        <w:left w:val="none" w:sz="0" w:space="0" w:color="auto"/>
        <w:bottom w:val="none" w:sz="0" w:space="0" w:color="auto"/>
        <w:right w:val="none" w:sz="0" w:space="0" w:color="auto"/>
      </w:divBdr>
      <w:divsChild>
        <w:div w:id="1156845045">
          <w:marLeft w:val="0"/>
          <w:marRight w:val="0"/>
          <w:marTop w:val="0"/>
          <w:marBottom w:val="0"/>
          <w:divBdr>
            <w:top w:val="none" w:sz="0" w:space="0" w:color="auto"/>
            <w:left w:val="none" w:sz="0" w:space="0" w:color="auto"/>
            <w:bottom w:val="none" w:sz="0" w:space="0" w:color="auto"/>
            <w:right w:val="none" w:sz="0" w:space="0" w:color="auto"/>
          </w:divBdr>
        </w:div>
      </w:divsChild>
    </w:div>
    <w:div w:id="1974679085">
      <w:bodyDiv w:val="1"/>
      <w:marLeft w:val="0"/>
      <w:marRight w:val="0"/>
      <w:marTop w:val="0"/>
      <w:marBottom w:val="0"/>
      <w:divBdr>
        <w:top w:val="none" w:sz="0" w:space="0" w:color="auto"/>
        <w:left w:val="none" w:sz="0" w:space="0" w:color="auto"/>
        <w:bottom w:val="none" w:sz="0" w:space="0" w:color="auto"/>
        <w:right w:val="none" w:sz="0" w:space="0" w:color="auto"/>
      </w:divBdr>
      <w:divsChild>
        <w:div w:id="283925123">
          <w:marLeft w:val="0"/>
          <w:marRight w:val="0"/>
          <w:marTop w:val="0"/>
          <w:marBottom w:val="0"/>
          <w:divBdr>
            <w:top w:val="none" w:sz="0" w:space="0" w:color="auto"/>
            <w:left w:val="none" w:sz="0" w:space="0" w:color="auto"/>
            <w:bottom w:val="none" w:sz="0" w:space="0" w:color="auto"/>
            <w:right w:val="none" w:sz="0" w:space="0" w:color="auto"/>
          </w:divBdr>
        </w:div>
      </w:divsChild>
    </w:div>
    <w:div w:id="1998997030">
      <w:bodyDiv w:val="1"/>
      <w:marLeft w:val="0"/>
      <w:marRight w:val="0"/>
      <w:marTop w:val="0"/>
      <w:marBottom w:val="0"/>
      <w:divBdr>
        <w:top w:val="none" w:sz="0" w:space="0" w:color="auto"/>
        <w:left w:val="none" w:sz="0" w:space="0" w:color="auto"/>
        <w:bottom w:val="none" w:sz="0" w:space="0" w:color="auto"/>
        <w:right w:val="none" w:sz="0" w:space="0" w:color="auto"/>
      </w:divBdr>
      <w:divsChild>
        <w:div w:id="439422863">
          <w:marLeft w:val="0"/>
          <w:marRight w:val="0"/>
          <w:marTop w:val="0"/>
          <w:marBottom w:val="0"/>
          <w:divBdr>
            <w:top w:val="none" w:sz="0" w:space="0" w:color="auto"/>
            <w:left w:val="none" w:sz="0" w:space="0" w:color="auto"/>
            <w:bottom w:val="none" w:sz="0" w:space="0" w:color="auto"/>
            <w:right w:val="none" w:sz="0" w:space="0" w:color="auto"/>
          </w:divBdr>
          <w:divsChild>
            <w:div w:id="40717028">
              <w:marLeft w:val="0"/>
              <w:marRight w:val="0"/>
              <w:marTop w:val="0"/>
              <w:marBottom w:val="0"/>
              <w:divBdr>
                <w:top w:val="none" w:sz="0" w:space="0" w:color="auto"/>
                <w:left w:val="none" w:sz="0" w:space="0" w:color="auto"/>
                <w:bottom w:val="none" w:sz="0" w:space="0" w:color="auto"/>
                <w:right w:val="none" w:sz="0" w:space="0" w:color="auto"/>
              </w:divBdr>
              <w:divsChild>
                <w:div w:id="607277192">
                  <w:marLeft w:val="0"/>
                  <w:marRight w:val="0"/>
                  <w:marTop w:val="0"/>
                  <w:marBottom w:val="0"/>
                  <w:divBdr>
                    <w:top w:val="none" w:sz="0" w:space="0" w:color="auto"/>
                    <w:left w:val="none" w:sz="0" w:space="0" w:color="auto"/>
                    <w:bottom w:val="none" w:sz="0" w:space="0" w:color="auto"/>
                    <w:right w:val="none" w:sz="0" w:space="0" w:color="auto"/>
                  </w:divBdr>
                  <w:divsChild>
                    <w:div w:id="1261987344">
                      <w:marLeft w:val="0"/>
                      <w:marRight w:val="0"/>
                      <w:marTop w:val="0"/>
                      <w:marBottom w:val="0"/>
                      <w:divBdr>
                        <w:top w:val="none" w:sz="0" w:space="0" w:color="auto"/>
                        <w:left w:val="none" w:sz="0" w:space="0" w:color="auto"/>
                        <w:bottom w:val="none" w:sz="0" w:space="0" w:color="auto"/>
                        <w:right w:val="none" w:sz="0" w:space="0" w:color="auto"/>
                      </w:divBdr>
                      <w:divsChild>
                        <w:div w:id="569081690">
                          <w:marLeft w:val="0"/>
                          <w:marRight w:val="0"/>
                          <w:marTop w:val="0"/>
                          <w:marBottom w:val="0"/>
                          <w:divBdr>
                            <w:top w:val="none" w:sz="0" w:space="0" w:color="auto"/>
                            <w:left w:val="none" w:sz="0" w:space="0" w:color="auto"/>
                            <w:bottom w:val="none" w:sz="0" w:space="0" w:color="auto"/>
                            <w:right w:val="none" w:sz="0" w:space="0" w:color="auto"/>
                          </w:divBdr>
                          <w:divsChild>
                            <w:div w:id="2070569805">
                              <w:marLeft w:val="0"/>
                              <w:marRight w:val="0"/>
                              <w:marTop w:val="0"/>
                              <w:marBottom w:val="0"/>
                              <w:divBdr>
                                <w:top w:val="none" w:sz="0" w:space="0" w:color="auto"/>
                                <w:left w:val="none" w:sz="0" w:space="0" w:color="auto"/>
                                <w:bottom w:val="none" w:sz="0" w:space="0" w:color="auto"/>
                                <w:right w:val="none" w:sz="0" w:space="0" w:color="auto"/>
                              </w:divBdr>
                              <w:divsChild>
                                <w:div w:id="1114520176">
                                  <w:marLeft w:val="0"/>
                                  <w:marRight w:val="0"/>
                                  <w:marTop w:val="0"/>
                                  <w:marBottom w:val="0"/>
                                  <w:divBdr>
                                    <w:top w:val="none" w:sz="0" w:space="0" w:color="auto"/>
                                    <w:left w:val="none" w:sz="0" w:space="0" w:color="auto"/>
                                    <w:bottom w:val="none" w:sz="0" w:space="0" w:color="auto"/>
                                    <w:right w:val="none" w:sz="0" w:space="0" w:color="auto"/>
                                  </w:divBdr>
                                  <w:divsChild>
                                    <w:div w:id="1541817991">
                                      <w:marLeft w:val="0"/>
                                      <w:marRight w:val="0"/>
                                      <w:marTop w:val="0"/>
                                      <w:marBottom w:val="0"/>
                                      <w:divBdr>
                                        <w:top w:val="none" w:sz="0" w:space="0" w:color="auto"/>
                                        <w:left w:val="none" w:sz="0" w:space="0" w:color="auto"/>
                                        <w:bottom w:val="none" w:sz="0" w:space="0" w:color="auto"/>
                                        <w:right w:val="none" w:sz="0" w:space="0" w:color="auto"/>
                                      </w:divBdr>
                                      <w:divsChild>
                                        <w:div w:id="1454010001">
                                          <w:marLeft w:val="0"/>
                                          <w:marRight w:val="0"/>
                                          <w:marTop w:val="0"/>
                                          <w:marBottom w:val="0"/>
                                          <w:divBdr>
                                            <w:top w:val="none" w:sz="0" w:space="0" w:color="auto"/>
                                            <w:left w:val="none" w:sz="0" w:space="0" w:color="auto"/>
                                            <w:bottom w:val="none" w:sz="0" w:space="0" w:color="auto"/>
                                            <w:right w:val="none" w:sz="0" w:space="0" w:color="auto"/>
                                          </w:divBdr>
                                          <w:divsChild>
                                            <w:div w:id="1873640652">
                                              <w:marLeft w:val="0"/>
                                              <w:marRight w:val="0"/>
                                              <w:marTop w:val="0"/>
                                              <w:marBottom w:val="0"/>
                                              <w:divBdr>
                                                <w:top w:val="none" w:sz="0" w:space="0" w:color="auto"/>
                                                <w:left w:val="none" w:sz="0" w:space="0" w:color="auto"/>
                                                <w:bottom w:val="none" w:sz="0" w:space="0" w:color="auto"/>
                                                <w:right w:val="none" w:sz="0" w:space="0" w:color="auto"/>
                                              </w:divBdr>
                                              <w:divsChild>
                                                <w:div w:id="635378222">
                                                  <w:marLeft w:val="0"/>
                                                  <w:marRight w:val="0"/>
                                                  <w:marTop w:val="0"/>
                                                  <w:marBottom w:val="0"/>
                                                  <w:divBdr>
                                                    <w:top w:val="none" w:sz="0" w:space="0" w:color="auto"/>
                                                    <w:left w:val="none" w:sz="0" w:space="0" w:color="auto"/>
                                                    <w:bottom w:val="none" w:sz="0" w:space="0" w:color="auto"/>
                                                    <w:right w:val="none" w:sz="0" w:space="0" w:color="auto"/>
                                                  </w:divBdr>
                                                  <w:divsChild>
                                                    <w:div w:id="74850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08164217">
          <w:marLeft w:val="0"/>
          <w:marRight w:val="0"/>
          <w:marTop w:val="0"/>
          <w:marBottom w:val="0"/>
          <w:divBdr>
            <w:top w:val="none" w:sz="0" w:space="0" w:color="auto"/>
            <w:left w:val="none" w:sz="0" w:space="0" w:color="auto"/>
            <w:bottom w:val="none" w:sz="0" w:space="0" w:color="auto"/>
            <w:right w:val="none" w:sz="0" w:space="0" w:color="auto"/>
          </w:divBdr>
          <w:divsChild>
            <w:div w:id="1270510052">
              <w:marLeft w:val="0"/>
              <w:marRight w:val="0"/>
              <w:marTop w:val="0"/>
              <w:marBottom w:val="0"/>
              <w:divBdr>
                <w:top w:val="none" w:sz="0" w:space="0" w:color="auto"/>
                <w:left w:val="none" w:sz="0" w:space="0" w:color="auto"/>
                <w:bottom w:val="none" w:sz="0" w:space="0" w:color="auto"/>
                <w:right w:val="none" w:sz="0" w:space="0" w:color="auto"/>
              </w:divBdr>
              <w:divsChild>
                <w:div w:id="1972393909">
                  <w:marLeft w:val="0"/>
                  <w:marRight w:val="0"/>
                  <w:marTop w:val="0"/>
                  <w:marBottom w:val="0"/>
                  <w:divBdr>
                    <w:top w:val="none" w:sz="0" w:space="0" w:color="auto"/>
                    <w:left w:val="none" w:sz="0" w:space="0" w:color="auto"/>
                    <w:bottom w:val="none" w:sz="0" w:space="0" w:color="auto"/>
                    <w:right w:val="none" w:sz="0" w:space="0" w:color="auto"/>
                  </w:divBdr>
                  <w:divsChild>
                    <w:div w:id="1792476717">
                      <w:marLeft w:val="0"/>
                      <w:marRight w:val="0"/>
                      <w:marTop w:val="0"/>
                      <w:marBottom w:val="0"/>
                      <w:divBdr>
                        <w:top w:val="none" w:sz="0" w:space="0" w:color="auto"/>
                        <w:left w:val="none" w:sz="0" w:space="0" w:color="auto"/>
                        <w:bottom w:val="none" w:sz="0" w:space="0" w:color="auto"/>
                        <w:right w:val="none" w:sz="0" w:space="0" w:color="auto"/>
                      </w:divBdr>
                      <w:divsChild>
                        <w:div w:id="6700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9598800">
      <w:bodyDiv w:val="1"/>
      <w:marLeft w:val="0"/>
      <w:marRight w:val="0"/>
      <w:marTop w:val="0"/>
      <w:marBottom w:val="0"/>
      <w:divBdr>
        <w:top w:val="none" w:sz="0" w:space="0" w:color="auto"/>
        <w:left w:val="none" w:sz="0" w:space="0" w:color="auto"/>
        <w:bottom w:val="none" w:sz="0" w:space="0" w:color="auto"/>
        <w:right w:val="none" w:sz="0" w:space="0" w:color="auto"/>
      </w:divBdr>
      <w:divsChild>
        <w:div w:id="170293546">
          <w:marLeft w:val="0"/>
          <w:marRight w:val="0"/>
          <w:marTop w:val="0"/>
          <w:marBottom w:val="0"/>
          <w:divBdr>
            <w:top w:val="none" w:sz="0" w:space="0" w:color="auto"/>
            <w:left w:val="none" w:sz="0" w:space="0" w:color="auto"/>
            <w:bottom w:val="none" w:sz="0" w:space="0" w:color="auto"/>
            <w:right w:val="none" w:sz="0" w:space="0" w:color="auto"/>
          </w:divBdr>
        </w:div>
      </w:divsChild>
    </w:div>
    <w:div w:id="2069986656">
      <w:bodyDiv w:val="1"/>
      <w:marLeft w:val="0"/>
      <w:marRight w:val="0"/>
      <w:marTop w:val="0"/>
      <w:marBottom w:val="0"/>
      <w:divBdr>
        <w:top w:val="none" w:sz="0" w:space="0" w:color="auto"/>
        <w:left w:val="none" w:sz="0" w:space="0" w:color="auto"/>
        <w:bottom w:val="none" w:sz="0" w:space="0" w:color="auto"/>
        <w:right w:val="none" w:sz="0" w:space="0" w:color="auto"/>
      </w:divBdr>
      <w:divsChild>
        <w:div w:id="525338841">
          <w:marLeft w:val="0"/>
          <w:marRight w:val="0"/>
          <w:marTop w:val="0"/>
          <w:marBottom w:val="0"/>
          <w:divBdr>
            <w:top w:val="none" w:sz="0" w:space="0" w:color="auto"/>
            <w:left w:val="none" w:sz="0" w:space="0" w:color="auto"/>
            <w:bottom w:val="none" w:sz="0" w:space="0" w:color="auto"/>
            <w:right w:val="none" w:sz="0" w:space="0" w:color="auto"/>
          </w:divBdr>
        </w:div>
      </w:divsChild>
    </w:div>
    <w:div w:id="2091468022">
      <w:bodyDiv w:val="1"/>
      <w:marLeft w:val="0"/>
      <w:marRight w:val="0"/>
      <w:marTop w:val="0"/>
      <w:marBottom w:val="0"/>
      <w:divBdr>
        <w:top w:val="none" w:sz="0" w:space="0" w:color="auto"/>
        <w:left w:val="none" w:sz="0" w:space="0" w:color="auto"/>
        <w:bottom w:val="none" w:sz="0" w:space="0" w:color="auto"/>
        <w:right w:val="none" w:sz="0" w:space="0" w:color="auto"/>
      </w:divBdr>
      <w:divsChild>
        <w:div w:id="1996227784">
          <w:marLeft w:val="0"/>
          <w:marRight w:val="0"/>
          <w:marTop w:val="0"/>
          <w:marBottom w:val="0"/>
          <w:divBdr>
            <w:top w:val="none" w:sz="0" w:space="0" w:color="auto"/>
            <w:left w:val="none" w:sz="0" w:space="0" w:color="auto"/>
            <w:bottom w:val="none" w:sz="0" w:space="0" w:color="auto"/>
            <w:right w:val="none" w:sz="0" w:space="0" w:color="auto"/>
          </w:divBdr>
        </w:div>
      </w:divsChild>
    </w:div>
    <w:div w:id="2104185112">
      <w:bodyDiv w:val="1"/>
      <w:marLeft w:val="0"/>
      <w:marRight w:val="0"/>
      <w:marTop w:val="0"/>
      <w:marBottom w:val="0"/>
      <w:divBdr>
        <w:top w:val="none" w:sz="0" w:space="0" w:color="auto"/>
        <w:left w:val="none" w:sz="0" w:space="0" w:color="auto"/>
        <w:bottom w:val="none" w:sz="0" w:space="0" w:color="auto"/>
        <w:right w:val="none" w:sz="0" w:space="0" w:color="auto"/>
      </w:divBdr>
      <w:divsChild>
        <w:div w:id="1505588762">
          <w:marLeft w:val="0"/>
          <w:marRight w:val="0"/>
          <w:marTop w:val="0"/>
          <w:marBottom w:val="0"/>
          <w:divBdr>
            <w:top w:val="none" w:sz="0" w:space="0" w:color="auto"/>
            <w:left w:val="none" w:sz="0" w:space="0" w:color="auto"/>
            <w:bottom w:val="none" w:sz="0" w:space="0" w:color="auto"/>
            <w:right w:val="none" w:sz="0" w:space="0" w:color="auto"/>
          </w:divBdr>
        </w:div>
      </w:divsChild>
    </w:div>
    <w:div w:id="2140105341">
      <w:bodyDiv w:val="1"/>
      <w:marLeft w:val="0"/>
      <w:marRight w:val="0"/>
      <w:marTop w:val="0"/>
      <w:marBottom w:val="0"/>
      <w:divBdr>
        <w:top w:val="none" w:sz="0" w:space="0" w:color="auto"/>
        <w:left w:val="none" w:sz="0" w:space="0" w:color="auto"/>
        <w:bottom w:val="none" w:sz="0" w:space="0" w:color="auto"/>
        <w:right w:val="none" w:sz="0" w:space="0" w:color="auto"/>
      </w:divBdr>
      <w:divsChild>
        <w:div w:id="11869470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1408</TotalTime>
  <Pages>17</Pages>
  <Words>8521</Words>
  <Characters>48573</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AMBANNA .</dc:creator>
  <cp:keywords/>
  <dc:description/>
  <cp:lastModifiedBy>ganesh B</cp:lastModifiedBy>
  <cp:revision>44</cp:revision>
  <dcterms:created xsi:type="dcterms:W3CDTF">2025-03-28T09:40:00Z</dcterms:created>
  <dcterms:modified xsi:type="dcterms:W3CDTF">2025-04-06T13:13:00Z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aa30f62e-5551-44df-87e0-81fb431a2dd0</vt:lpwstr>
  </property>
</Properties>
</file>