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 w:eastAsiaTheme="majorEastAsia"/>
          <w:lang w:eastAsia="zh-CN"/>
        </w:rPr>
      </w:pPr>
      <w:r>
        <w:t>Отчет по лабораторной работе №</w:t>
      </w:r>
      <w:r>
        <w:rPr>
          <w:rFonts w:hint="eastAsia"/>
          <w:lang w:val="en-US" w:eastAsia="zh-CN"/>
        </w:rPr>
        <w:t>5</w:t>
      </w:r>
    </w:p>
    <w:p>
      <w:pPr>
        <w:pStyle w:val="15"/>
      </w:pPr>
      <w:r>
        <w:t>Модель гармонических колебаний - вариант 19</w:t>
      </w:r>
    </w:p>
    <w:p>
      <w:pPr>
        <w:pStyle w:val="25"/>
      </w:pPr>
      <w:r>
        <w:t>Гань Чжаолун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>
      <w:pPr>
        <w:pStyle w:val="23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Изучить динамику популяций хищников и жертв на основе модели "хищник-жертва", представленной системой дифференциальных уравнений, и исследовать стационарные состояния системы.</w:t>
      </w:r>
    </w:p>
    <w:bookmarkEnd w:id="0"/>
    <w:p>
      <w:pPr>
        <w:pStyle w:val="2"/>
      </w:pPr>
      <w:bookmarkStart w:id="1" w:name="задание"/>
      <w:r>
        <w:rPr>
          <w:rStyle w:val="37"/>
        </w:rPr>
        <w:t>2</w:t>
      </w:r>
      <w:r>
        <w:tab/>
      </w:r>
      <w:r>
        <w:t>Задание</w:t>
      </w:r>
    </w:p>
    <w:p>
      <w:pPr>
        <w:pStyle w:val="24"/>
        <w:numPr>
          <w:ilvl w:val="0"/>
          <w:numId w:val="1"/>
        </w:numPr>
      </w:pPr>
      <w:r>
        <w:t>Построить решение уравнения гармонического осциллятора без затухания</w:t>
      </w:r>
    </w:p>
    <w:p>
      <w:pPr>
        <w:pStyle w:val="24"/>
        <w:numPr>
          <w:ilvl w:val="0"/>
          <w:numId w:val="1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pStyle w:val="24"/>
        <w:numPr>
          <w:ilvl w:val="0"/>
          <w:numId w:val="1"/>
        </w:numPr>
      </w:pPr>
      <w:r>
        <w:t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1"/>
    <w:p>
      <w:pPr>
        <w:pStyle w:val="2"/>
      </w:pPr>
      <w:bookmarkStart w:id="2" w:name="выполнение-лабораторной-работы"/>
      <w:r>
        <w:rPr>
          <w:rStyle w:val="37"/>
        </w:rPr>
        <w:t>3</w:t>
      </w:r>
      <w:r>
        <w:tab/>
      </w:r>
      <w:r>
        <w:t>Выполнение лабораторной работы</w:t>
      </w:r>
    </w:p>
    <w:p>
      <w:pPr>
        <w:pStyle w:val="4"/>
      </w:pPr>
      <w:bookmarkStart w:id="3" w:name="теоретические-сведения"/>
      <w:r>
        <w:rPr>
          <w:rStyle w:val="37"/>
        </w:rPr>
        <w:t>3.1</w:t>
      </w:r>
      <w:r>
        <w:tab/>
      </w:r>
      <w:r>
        <w:t>Теоретические сведения</w:t>
      </w:r>
    </w:p>
    <w:p>
      <w:pPr>
        <w:pStyle w:val="23"/>
        <w:ind w:firstLine="281" w:firstLineChars="100"/>
        <w:rPr>
          <w:rFonts w:hint="default" w:asciiTheme="majorAscii" w:hAnsiTheme="majorAscii"/>
          <w:color w:val="auto"/>
        </w:rPr>
      </w:pP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3.1.1</w:t>
      </w: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ab/>
      </w:r>
      <w:r>
        <w:rPr>
          <w:rFonts w:hint="default" w:asciiTheme="majorAscii" w:hAnsiTheme="majorAscii" w:eastAsiaTheme="majorEastAsia" w:cstheme="majorBidi"/>
          <w:b/>
          <w:bCs/>
          <w:color w:val="auto"/>
          <w:sz w:val="28"/>
          <w:szCs w:val="28"/>
          <w:lang w:val="ru-RU" w:eastAsia="en-US" w:bidi="ar-SA"/>
        </w:rPr>
        <w:t>Основные Понятия и Предположения Модели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Простейшая модель взаимодействия двух видов типа «хищник — жертва»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модель Лотки-Вольтерры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. Данная двувидовая модель основывается на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следующих предположениях: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1. Численность популяции жертв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x 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и хищников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y 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зависят только от времени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(модель не учитывает пространственное распределение популяции на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занимаемой территории)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2. В отсутствии взаимодействия численность видов изменяется по модели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Мальтуса, при этом число жертв увеличивается, а число хищников падает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3. Естественная смертность жертвы и естественная рождаемость хищника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считаются несущественными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4. Эффект насыщения численности обеих популяций не учитывается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5. Скорость роста численности жертв уменьшается пропорционально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численности хищников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drawing>
          <wp:inline distT="0" distB="0" distL="114300" distR="114300">
            <wp:extent cx="1997075" cy="1001395"/>
            <wp:effectExtent l="0" t="0" r="3175" b="825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В этой модели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x 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– число жертв,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y 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- число хищников. Коэффициент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описывает скорость естественного прироста числа жертв в отсутствие хищников,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- естественное вымирание хищников, лишенных пищи в виде жертв. Вероятность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взаимодействия жертвы и хищника считается пропорциональной как количеству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>жертв, так и числу самих хищников (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>xy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). Каждый акт взаимодействия уменьшает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популяцию жертв, но способствует увеличению популяции хищников (члены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-bxy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и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dxy </w:t>
      </w:r>
      <w:r>
        <w:rPr>
          <w:rFonts w:hint="default" w:ascii="Times New Roman" w:hAnsi="Times New Roman" w:eastAsia="宋体" w:cs="Times New Roman"/>
          <w:color w:val="000000"/>
          <w:kern w:val="0"/>
          <w:sz w:val="25"/>
          <w:szCs w:val="25"/>
          <w:lang w:val="en-US" w:eastAsia="zh-CN" w:bidi="ar"/>
        </w:rPr>
        <w:t xml:space="preserve">в правой части уравнения). </w:t>
      </w:r>
    </w:p>
    <w:p>
      <w:pPr>
        <w:pStyle w:val="23"/>
        <w:ind w:firstLine="720" w:firstLineChars="0"/>
        <w:rPr>
          <w:rFonts w:hint="eastAsia"/>
        </w:rPr>
      </w:pPr>
    </w:p>
    <w:p>
      <w:pPr>
        <w:pStyle w:val="23"/>
        <w:ind w:firstLine="720" w:firstLineChars="0"/>
        <w:rPr>
          <w:rFonts w:hint="eastAsia"/>
        </w:rPr>
      </w:pPr>
      <w:r>
        <w:rPr>
          <w:rFonts w:hint="eastAsia"/>
        </w:rPr>
        <w:t>Модель "хищник-жертва", также известная как модель Лотки-Вольтерры, используется для описания динамики двух взаимосвязанных популяций, где одна служит пищей для другой. Модель основывается на нескольких ключевых предположениях:</w:t>
      </w:r>
    </w:p>
    <w:p>
      <w:pPr>
        <w:pStyle w:val="23"/>
        <w:rPr>
          <w:rFonts w:hint="eastAsia"/>
        </w:rPr>
      </w:pPr>
    </w:p>
    <w:p>
      <w:pPr>
        <w:pStyle w:val="23"/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Численность жертв (x) увеличивается экспоненциально в отсутствие хищников.</w:t>
      </w:r>
    </w:p>
    <w:p>
      <w:pPr>
        <w:pStyle w:val="23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Численность хищников (y) уменьшается экспоненциально в отсутствие жертв.</w:t>
      </w:r>
    </w:p>
    <w:p>
      <w:pPr>
        <w:pStyle w:val="23"/>
        <w:numPr>
          <w:ilvl w:val="1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Взаимодействие между хищниками и жертвами приводит к уменьшению численности жертв и увеличению численности хищников.</w:t>
      </w:r>
    </w:p>
    <w:p>
      <w:pPr>
        <w:pStyle w:val="23"/>
        <w:rPr>
          <w:rFonts w:hint="eastAsia"/>
        </w:rPr>
      </w:pPr>
    </w:p>
    <w:p>
      <w:pPr>
        <w:pStyle w:val="23"/>
        <w:ind w:firstLine="562" w:firstLineChars="200"/>
        <w:rPr>
          <w:rFonts w:hint="eastAsia"/>
          <w:color w:val="auto"/>
        </w:rPr>
      </w:pP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3.1.2</w:t>
      </w: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ab/>
      </w:r>
      <w:r>
        <w:rPr>
          <w:rFonts w:hint="default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Рассмотренная Система Дифференциальных Уравнений</w:t>
      </w:r>
    </w:p>
    <w:p>
      <w:pPr>
        <w:pStyle w:val="23"/>
        <w:ind w:firstLine="480" w:firstLineChars="200"/>
        <w:rPr>
          <w:rFonts w:hint="eastAsia"/>
        </w:rPr>
      </w:pPr>
      <w:r>
        <w:rPr>
          <w:rFonts w:hint="eastAsia"/>
        </w:rPr>
        <w:t>Система дифференциальных уравнений для модели "хищник-жертва" была представлена в следующем виде:</w:t>
      </w:r>
    </w:p>
    <w:p>
      <w:pPr>
        <w:pStyle w:val="23"/>
        <w:ind w:left="720" w:leftChars="0" w:firstLine="720" w:firstLineChars="0"/>
        <w:rPr>
          <w:rFonts w:hint="eastAsia"/>
        </w:rPr>
      </w:pPr>
      <w:r>
        <w:rPr>
          <w:rFonts w:hint="eastAsia"/>
          <w:position w:val="-56"/>
        </w:rPr>
        <w:object>
          <v:shape id="_x0000_i1025" o:spt="75" type="#_x0000_t75" style="height:63pt;width:13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где </w:t>
      </w:r>
      <w:r>
        <w:rPr>
          <w:rFonts w:hint="eastAsia"/>
          <w:b/>
          <w:bCs/>
        </w:rPr>
        <w:t>x</w:t>
      </w:r>
      <w:r>
        <w:rPr>
          <w:rFonts w:hint="eastAsia"/>
        </w:rPr>
        <w:t xml:space="preserve"> и </w:t>
      </w:r>
      <w:r>
        <w:rPr>
          <w:rFonts w:hint="eastAsia"/>
          <w:b/>
          <w:bCs/>
        </w:rPr>
        <w:t>y</w:t>
      </w:r>
      <w:r>
        <w:rPr>
          <w:rFonts w:hint="eastAsia"/>
        </w:rPr>
        <w:t xml:space="preserve"> обозначают численность жертв и хищников соответственно. Коэффициенты в уравнениях отражают скорость роста и убыли популяций, а также влияние взаимодействия между ними.</w:t>
      </w:r>
    </w:p>
    <w:p>
      <w:pPr>
        <w:pStyle w:val="23"/>
        <w:rPr>
          <w:rFonts w:hint="eastAsia"/>
        </w:rPr>
      </w:pPr>
    </w:p>
    <w:p>
      <w:pPr>
        <w:pStyle w:val="23"/>
        <w:ind w:firstLine="562" w:firstLineChars="200"/>
        <w:rPr>
          <w:rFonts w:hint="eastAsia"/>
          <w:color w:val="auto"/>
        </w:rPr>
      </w:pP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 xml:space="preserve">3.1.3 </w:t>
      </w:r>
      <w:r>
        <w:rPr>
          <w:rFonts w:hint="default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Начальные Условия и Результаты Моделирования</w:t>
      </w:r>
    </w:p>
    <w:p>
      <w:pPr>
        <w:pStyle w:val="23"/>
        <w:ind w:firstLine="720" w:firstLineChars="0"/>
        <w:rPr>
          <w:rFonts w:hint="eastAsia"/>
        </w:rPr>
      </w:pPr>
      <w:r>
        <w:rPr>
          <w:rFonts w:hint="eastAsia"/>
        </w:rPr>
        <w:t>Для численного решения системы были заданы начальные условия: x(0) = 8, y(0) = 21. Решение системы позволило построить графики зависимости численности хищников от численности жертв, а также изменения численности каждого вида во времени. Эти графики демонстрируют характерные колебания численности популяций, которые являются отличительной чертой динамики системы "хищник-жертва".</w:t>
      </w:r>
    </w:p>
    <w:p>
      <w:pPr>
        <w:pStyle w:val="23"/>
        <w:rPr>
          <w:rFonts w:hint="eastAsia"/>
        </w:rPr>
      </w:pPr>
    </w:p>
    <w:p>
      <w:pPr>
        <w:pStyle w:val="23"/>
        <w:ind w:firstLine="562" w:firstLineChars="200"/>
        <w:rPr>
          <w:rFonts w:hint="default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</w:pPr>
      <w:r>
        <w:rPr>
          <w:rFonts w:hint="eastAsia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3.1.4</w:t>
      </w:r>
      <w:r>
        <w:rPr>
          <w:rFonts w:hint="default" w:asciiTheme="majorAscii" w:hAnsiTheme="majorAscii" w:eastAsiaTheme="majorEastAsia" w:cstheme="majorBidi"/>
          <w:b/>
          <w:bCs/>
          <w:color w:val="auto"/>
          <w:sz w:val="28"/>
          <w:szCs w:val="28"/>
          <w:lang w:val="en-US" w:eastAsia="zh-CN" w:bidi="ar-SA"/>
        </w:rPr>
        <w:t>Стационарное Состояние Системы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Было найдено стационарное состояние системы, при котором численность популяций остается неизменной. Для данной системы уравнений стационарное состояние было определено как:</w:t>
      </w:r>
    </w:p>
    <w:p>
      <w:pPr>
        <w:pStyle w:val="23"/>
        <w:rPr>
          <w:rFonts w:hint="eastAsia"/>
        </w:rPr>
      </w:pPr>
    </w:p>
    <w:p>
      <w:pPr>
        <w:pStyle w:val="23"/>
        <w:ind w:firstLine="720" w:firstLineChars="0"/>
        <w:rPr>
          <w:rFonts w:hint="eastAsia"/>
        </w:rPr>
      </w:pPr>
      <w:r>
        <w:rPr>
          <w:rFonts w:hint="eastAsia"/>
          <w:position w:val="-60"/>
        </w:rPr>
        <w:object>
          <v:shape id="_x0000_i1026" o:spt="75" type="#_x0000_t75" style="height:67pt;width:10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bookmarkStart w:id="8" w:name="_GoBack"/>
      <w:bookmarkEnd w:id="8"/>
    </w:p>
    <w:p>
      <w:pPr>
        <w:pStyle w:val="23"/>
        <w:rPr>
          <w:rFonts w:hint="eastAsia"/>
        </w:rPr>
      </w:pPr>
      <w:r>
        <w:rPr>
          <w:rFonts w:hint="eastAsia"/>
        </w:rPr>
        <w:t>Это указывает на равновесие между популяциями хищников и жертв при данных параметрах модели.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bookmarkEnd w:id="3"/>
    <w:p>
      <w:pPr>
        <w:pStyle w:val="4"/>
      </w:pPr>
      <w:bookmarkStart w:id="4" w:name="задача"/>
      <w:r>
        <w:rPr>
          <w:rStyle w:val="37"/>
        </w:rPr>
        <w:t>3.2</w:t>
      </w:r>
      <w:r>
        <w:tab/>
      </w:r>
      <w:r>
        <w:t>Задача</w:t>
      </w:r>
    </w:p>
    <w:p>
      <w:pPr>
        <w:pStyle w:val="3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Для модели «хищник-жертва»: </w:t>
      </w:r>
    </w:p>
    <w:p>
      <w:pPr>
        <w:pStyle w:val="3"/>
        <w:ind w:firstLine="720" w:firstLineChars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eastAsia"/>
          <w:position w:val="-56"/>
        </w:rPr>
        <w:object>
          <v:shape id="_x0000_i1027" o:spt="75" alt="" type="#_x0000_t75" style="height:63pt;width:1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pStyle w:val="3"/>
      </w:pPr>
      <w:r>
        <w:rPr>
          <w:rFonts w:hint="default" w:eastAsia="宋体" w:cs="宋体" w:asciiTheme="minorAscii" w:hAnsiTheme="minorAscii"/>
          <w:sz w:val="24"/>
          <w:szCs w:val="24"/>
        </w:rPr>
        <w:t xml:space="preserve"> 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w:r>
        <w:rPr>
          <w:rFonts w:hint="default" w:eastAsia="宋体" w:cs="宋体" w:asciiTheme="minorAscii" w:hAnsiTheme="minorAscii"/>
          <w:position w:val="-12"/>
          <w:sz w:val="24"/>
          <w:szCs w:val="24"/>
        </w:rPr>
        <w:object>
          <v:shape id="_x0000_i1028" o:spt="75" type="#_x0000_t75" style="height:17pt;width:8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eastAsia="宋体" w:cs="宋体" w:asciiTheme="minorAscii" w:hAnsiTheme="minorAscii"/>
          <w:sz w:val="24"/>
          <w:szCs w:val="24"/>
        </w:rPr>
        <w:t>. Найдите стационарное состояние системы. Найдите стационарное состояние системы.</w:t>
      </w:r>
    </w:p>
    <w:p>
      <w:pPr>
        <w:pStyle w:val="23"/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ru-RU" w:eastAsia="en-US" w:bidi="ar-SA"/>
        </w:rPr>
      </w:pPr>
    </w:p>
    <w:p>
      <w:pPr>
        <w:pStyle w:val="23"/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ru-RU" w:eastAsia="en-US" w:bidi="ar-SA"/>
        </w:rPr>
      </w:pPr>
    </w:p>
    <w:p>
      <w:pPr>
        <w:pStyle w:val="23"/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ru-RU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ru-RU" w:eastAsia="en-US" w:bidi="ar-SA"/>
        </w:rPr>
        <w:t>Решение</w:t>
      </w:r>
      <w:bookmarkStart w:id="5" w:name="fig:001"/>
    </w:p>
    <w:p>
      <w:pPr>
        <w:pStyle w:val="23"/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  <w:lang w:val="ru-RU" w:eastAsia="en-US" w:bidi="ar-SA"/>
        </w:rPr>
      </w:pPr>
    </w:p>
    <w:p>
      <w:pPr>
        <w:pStyle w:val="23"/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</w:pP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 xml:space="preserve">Используя начальные условия </w:t>
      </w:r>
      <w:r>
        <w:rPr>
          <w:rFonts w:hint="default" w:eastAsia="宋体" w:cs="宋体" w:asciiTheme="minorAscii" w:hAnsiTheme="minorAscii"/>
          <w:position w:val="-12"/>
          <w:sz w:val="24"/>
          <w:szCs w:val="24"/>
        </w:rPr>
        <w:object>
          <v:shape id="_x0000_i1029" o:spt="75" type="#_x0000_t75" style="height:17pt;width:8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>, было проведено численное решение системы дифференциальных уравнений. Для визуализации результатов были построены следующие графики: зависимость численности хищников от численности жертв и изменение численности каждого вида со временем.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cs="宋体" w:asciiTheme="minorAscii" w:hAnsiTheme="minorAscii"/>
          <w:sz w:val="24"/>
          <w:szCs w:val="24"/>
          <w:lang w:val="en-US" w:eastAsia="en-US" w:bidi="ar-SA"/>
        </w:rPr>
      </w:pP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>Код на Python для решения задачи и построения графико</w:t>
      </w:r>
      <w:r>
        <w:rPr>
          <w:rStyle w:val="35"/>
          <w:rFonts w:hint="eastAsia"/>
        </w:rPr>
        <w:t>в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 w:cs="宋体" w:asciiTheme="minorAscii" w:hAnsiTheme="minorAscii"/>
          <w:sz w:val="24"/>
          <w:szCs w:val="24"/>
          <w:lang w:val="ru-RU" w:eastAsia="en-US" w:bidi="ar-SA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)</w:t>
      </w:r>
      <w:r>
        <w:rPr>
          <w:rFonts w:hint="eastAsia" w:eastAsia="宋体" w:cs="宋体" w:asciiTheme="minorAscii" w:hAnsiTheme="minorAscii"/>
          <w:sz w:val="24"/>
          <w:szCs w:val="24"/>
          <w:lang w:val="ru-RU" w:eastAsia="en-US" w:bidi="ar-SA"/>
        </w:rPr>
        <w:t>:</w:t>
      </w:r>
      <w:bookmarkEnd w:id="5"/>
    </w:p>
    <w:p>
      <w:pPr>
        <w:pStyle w:val="3"/>
      </w:pPr>
      <w:r>
        <w:drawing>
          <wp:inline distT="0" distB="0" distL="114300" distR="114300">
            <wp:extent cx="5476875" cy="4624070"/>
            <wp:effectExtent l="0" t="0" r="9525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35"/>
          <w:rFonts w:hint="eastAsia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1:</w:t>
      </w: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>Код на Python для решения задачи и построения графико</w:t>
      </w:r>
      <w:r>
        <w:rPr>
          <w:rStyle w:val="35"/>
          <w:rFonts w:hint="eastAsia"/>
        </w:rPr>
        <w:t>в</w:t>
      </w:r>
    </w:p>
    <w:p>
      <w:pPr>
        <w:pStyle w:val="3"/>
        <w:jc w:val="center"/>
        <w:rPr>
          <w:rStyle w:val="35"/>
          <w:rFonts w:hint="default"/>
          <w:lang w:val="en-US"/>
        </w:rPr>
      </w:pPr>
    </w:p>
    <w:p>
      <w:pPr>
        <w:pStyle w:val="32"/>
        <w:ind w:firstLine="480" w:firstLineChars="200"/>
        <w:rPr>
          <w:rFonts w:hint="eastAsia"/>
        </w:rPr>
      </w:pPr>
      <w:r>
        <w:rPr>
          <w:rFonts w:hint="eastAsia"/>
        </w:rPr>
        <w:t>На основе решения системы дифференциальных уравнений для модели "хищник-жертва", мы построили два графика:</w:t>
      </w:r>
    </w:p>
    <w:p>
      <w:pPr>
        <w:pStyle w:val="32"/>
        <w:rPr>
          <w:rFonts w:hint="eastAsia"/>
        </w:rPr>
      </w:pPr>
    </w:p>
    <w:p>
      <w:pPr>
        <w:pStyle w:val="32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1. График зависимости численности хищников от численности жертв показывает взаимосвязь между популяциями хищников и жертв. На этом графике также отмечена точка стационарного состояния системы (синим цветом).</w:t>
      </w:r>
      <w:r>
        <w:rPr>
          <w:rFonts w:hint="eastAsia" w:eastAsia="宋体"/>
          <w:lang w:val="en-US" w:eastAsia="zh-CN"/>
        </w:rPr>
        <w:t>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2</w:t>
      </w:r>
      <w:r>
        <w:rPr>
          <w:rFonts w:hint="eastAsia" w:eastAsia="宋体"/>
          <w:lang w:val="en-US" w:eastAsia="zh-CN"/>
        </w:rPr>
        <w:t>)</w:t>
      </w:r>
    </w:p>
    <w:p>
      <w:pPr>
        <w:pStyle w:val="32"/>
      </w:pPr>
      <w:r>
        <w:drawing>
          <wp:inline distT="0" distB="0" distL="114300" distR="114300">
            <wp:extent cx="5483860" cy="4690110"/>
            <wp:effectExtent l="0" t="0" r="2540" b="152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jc w:val="center"/>
        <w:rPr>
          <w:rFonts w:hint="eastAsia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2:</w:t>
      </w: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 xml:space="preserve"> График зависимости численности хищников от численности жертв</w:t>
      </w:r>
    </w:p>
    <w:p>
      <w:pPr>
        <w:pStyle w:val="32"/>
        <w:ind w:firstLine="480" w:firstLineChars="200"/>
        <w:rPr>
          <w:rFonts w:hint="eastAsia"/>
        </w:rPr>
      </w:pPr>
    </w:p>
    <w:p>
      <w:pPr>
        <w:pStyle w:val="32"/>
        <w:ind w:firstLine="480" w:firstLineChars="200"/>
        <w:rPr>
          <w:rFonts w:hint="eastAsia"/>
        </w:rPr>
      </w:pPr>
    </w:p>
    <w:p>
      <w:pPr>
        <w:pStyle w:val="32"/>
        <w:ind w:firstLine="480" w:firstLineChars="200"/>
        <w:rPr>
          <w:rFonts w:hint="eastAsia"/>
        </w:rPr>
      </w:pPr>
      <w:r>
        <w:rPr>
          <w:rFonts w:hint="eastAsia"/>
        </w:rPr>
        <w:t>2. Графики изменения численности хищников и жертв со временем иллюстрируют динамику популяций в течение времени. Из этих графиков видно, как численность хищников и жертв колеблется, что характерно для моделей "хищник-жертва".</w:t>
      </w:r>
      <w:r>
        <w:rPr>
          <w:rFonts w:hint="eastAsia" w:eastAsia="宋体"/>
          <w:lang w:val="en-US" w:eastAsia="zh-CN"/>
        </w:rPr>
        <w:t>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3</w:t>
      </w:r>
      <w:r>
        <w:rPr>
          <w:rFonts w:hint="eastAsia" w:eastAsia="宋体"/>
          <w:lang w:val="en-US" w:eastAsia="zh-CN"/>
        </w:rPr>
        <w:t>)</w:t>
      </w:r>
    </w:p>
    <w:p>
      <w:pPr>
        <w:pStyle w:val="32"/>
      </w:pPr>
      <w:r>
        <w:drawing>
          <wp:inline distT="0" distB="0" distL="114300" distR="114300">
            <wp:extent cx="5483225" cy="4695190"/>
            <wp:effectExtent l="0" t="0" r="3175" b="1016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jc w:val="center"/>
        <w:rPr>
          <w:rFonts w:hint="eastAsia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 w:bidi="ar-SA"/>
        </w:rPr>
        <w:t>Figure 3.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 w:bidi="ar-SA"/>
        </w:rPr>
        <w:t>3:</w:t>
      </w:r>
      <w:r>
        <w:rPr>
          <w:rFonts w:hint="default" w:eastAsia="宋体" w:cs="宋体" w:asciiTheme="minorAscii" w:hAnsiTheme="minorAscii"/>
          <w:sz w:val="24"/>
          <w:szCs w:val="24"/>
          <w:lang w:val="ru-RU" w:eastAsia="en-US" w:bidi="ar-SA"/>
        </w:rPr>
        <w:t xml:space="preserve"> Графики изменения численности хищников и жертв со временем</w:t>
      </w:r>
    </w:p>
    <w:p>
      <w:pPr>
        <w:pStyle w:val="32"/>
        <w:rPr>
          <w:rFonts w:hint="eastAsia"/>
        </w:rPr>
      </w:pPr>
    </w:p>
    <w:p>
      <w:pPr>
        <w:pStyle w:val="32"/>
        <w:rPr>
          <w:rFonts w:hint="eastAsia"/>
        </w:rPr>
      </w:pPr>
    </w:p>
    <w:p>
      <w:pPr>
        <w:pStyle w:val="32"/>
        <w:ind w:firstLine="480" w:firstLineChars="200"/>
        <w:rPr>
          <w:rFonts w:hint="eastAsia"/>
        </w:rPr>
      </w:pPr>
      <w:r>
        <w:rPr>
          <w:rFonts w:hint="eastAsia"/>
        </w:rPr>
        <w:t xml:space="preserve">Стационарное состояние системы, найденное аналитически, составляет примерно </w:t>
      </w:r>
      <w:r>
        <w:rPr>
          <w:rFonts w:hint="eastAsia"/>
          <w:position w:val="-10"/>
        </w:rPr>
        <w:object>
          <v:shape id="_x0000_i1032" o:spt="75" type="#_x0000_t75" style="height:16pt;width: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8">
            <o:LockedField>false</o:LockedField>
          </o:OLEObject>
        </w:object>
      </w:r>
      <w:r>
        <w:rPr>
          <w:rFonts w:hint="eastAsia"/>
        </w:rPr>
        <w:t xml:space="preserve"> (численность жертв) и </w:t>
      </w:r>
      <w:r>
        <w:rPr>
          <w:rFonts w:hint="eastAsia"/>
          <w:position w:val="-10"/>
        </w:rPr>
        <w:object>
          <v:shape id="_x0000_i1033" o:spt="75" alt="" type="#_x0000_t75" style="height:16pt;width:5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20">
            <o:LockedField>false</o:LockedField>
          </o:OLEObject>
        </w:object>
      </w:r>
      <w:r>
        <w:rPr>
          <w:rFonts w:hint="eastAsia"/>
        </w:rPr>
        <w:t xml:space="preserve"> (численность хищников). Это состояние соответствует точке, в которой численность популяций не изменяется со временем, и система находится в равновесии.</w:t>
      </w:r>
    </w:p>
    <w:p>
      <w:pPr>
        <w:pStyle w:val="32"/>
        <w:ind w:firstLine="480" w:firstLineChars="200"/>
      </w:pPr>
    </w:p>
    <w:p>
      <w:pPr>
        <w:pStyle w:val="32"/>
        <w:ind w:firstLine="480" w:firstLineChars="200"/>
        <w:rPr>
          <w:rFonts w:hint="eastAsia"/>
        </w:rPr>
      </w:pPr>
    </w:p>
    <w:p>
      <w:pPr>
        <w:pStyle w:val="32"/>
        <w:ind w:firstLine="480" w:firstLineChars="200"/>
        <w:rPr>
          <w:rFonts w:hint="eastAsia"/>
        </w:rPr>
      </w:pPr>
    </w:p>
    <w:p>
      <w:pPr>
        <w:pStyle w:val="32"/>
        <w:ind w:firstLine="480" w:firstLineChars="200"/>
        <w:rPr>
          <w:rFonts w:hint="eastAsia"/>
        </w:rPr>
      </w:pPr>
    </w:p>
    <w:bookmarkEnd w:id="2"/>
    <w:bookmarkEnd w:id="4"/>
    <w:p>
      <w:pPr>
        <w:pStyle w:val="2"/>
      </w:pPr>
      <w:bookmarkStart w:id="6" w:name="выводы"/>
      <w:r>
        <w:rPr>
          <w:rStyle w:val="37"/>
        </w:rPr>
        <w:t>4</w:t>
      </w:r>
      <w:r>
        <w:tab/>
      </w:r>
      <w:r>
        <w:t>Выводы</w:t>
      </w:r>
    </w:p>
    <w:p>
      <w:pPr>
        <w:pStyle w:val="3"/>
        <w:ind w:firstLine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Исследование модели "хищник-жертва" показало, как взаимодействие между двумя популяциями может привести к сложным динамическим паттернам, включая периодические колебания численности обеих групп. Стационарное состояние системы, найденное в ходе работы, демонстрирует баланс между популяциями хищников и жертв, при котором их численность остается неизменной.</w:t>
      </w:r>
    </w:p>
    <w:bookmarkEnd w:id="6"/>
    <w:p>
      <w:pPr>
        <w:pStyle w:val="2"/>
      </w:pPr>
      <w:bookmarkStart w:id="7" w:name="список-литературы"/>
      <w:r>
        <w:t>Список литературы</w:t>
      </w:r>
    </w:p>
    <w:p>
      <w:pPr>
        <w:pStyle w:val="2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Лотка А.Дж., Вольтерра В. Модели взаимодействия популяций хищник-жертва. - М.: Наука, 1978.</w:t>
      </w:r>
    </w:p>
    <w:p>
      <w:pPr>
        <w:pStyle w:val="2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Строгач, С. Нелинейная динамика и хаос. - М.: Издательство Института Компьютерных Исследований, 2003.</w:t>
      </w:r>
    </w:p>
    <w:p>
      <w:pPr>
        <w:pStyle w:val="24"/>
        <w:numPr>
          <w:ilvl w:val="0"/>
          <w:numId w:val="3"/>
        </w:numPr>
      </w:pPr>
      <w:r>
        <w:rPr>
          <w:rFonts w:hint="eastAsia"/>
        </w:rPr>
        <w:t>Мюррей, Дж. Математическая биология. - М.: Мир, 1980.</w:t>
      </w:r>
    </w:p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Serif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6CDE26CC"/>
    <w:multiLevelType w:val="multilevel"/>
    <w:tmpl w:val="6CDE26C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Tc3MzUxOGRmZmViNTBmYTE4ODNiZDhkZmVjMzE4OWY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E1C754C"/>
    <w:rsid w:val="7CE9516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autoRedefine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autoRedefine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autoRedefine/>
    <w:qFormat/>
    <w:uiPriority w:val="0"/>
    <w:rPr>
      <w:b/>
      <w:color w:val="007020"/>
    </w:rPr>
  </w:style>
  <w:style w:type="character" w:customStyle="1" w:styleId="40">
    <w:name w:val="DataTypeTok"/>
    <w:basedOn w:val="35"/>
    <w:autoRedefine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autoRedefine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24</TotalTime>
  <ScaleCrop>false</ScaleCrop>
  <LinksUpToDate>false</LinksUpToDate>
  <CharactersWithSpaces>583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2024-03-01T08:29:00Z</dcterms:created>
  <dc:creator>Гань Чжаолун</dc:creator>
  <cp:lastModifiedBy>深蓝</cp:lastModifiedBy>
  <dcterms:modified xsi:type="dcterms:W3CDTF">2024-03-08T16:17:47Z</dcterms:modified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  <property fmtid="{D5CDD505-2E9C-101B-9397-08002B2CF9AE}" pid="78" name="KSOProductBuildVer">
    <vt:lpwstr>2052-12.1.0.16399</vt:lpwstr>
  </property>
  <property fmtid="{D5CDD505-2E9C-101B-9397-08002B2CF9AE}" pid="79" name="ICV">
    <vt:lpwstr>1ED1641D8DDB4537BF7D8F1D08835234_12</vt:lpwstr>
  </property>
</Properties>
</file>