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eader-n0"/>
    <w:p>
      <w:pPr>
        <w:pStyle w:val="Heading1"/>
      </w:pPr>
      <w:r>
        <w:t xml:space="preserve">3.29 讨论总结</w:t>
      </w:r>
    </w:p>
    <w:p>
      <w:pPr>
        <w:pStyle w:val="FirstParagraph"/>
      </w:pPr>
      <w:r>
        <w:t xml:space="preserve">钱君岩，丁阳，夏辰睿</w:t>
      </w:r>
    </w:p>
    <w:bookmarkStart w:id="23" w:name="header-n37"/>
    <w:p>
      <w:pPr>
        <w:pStyle w:val="Heading2"/>
      </w:pPr>
      <w:r>
        <w:t xml:space="preserve">一 医院部分</w:t>
      </w:r>
    </w:p>
    <w:bookmarkStart w:id="20" w:name="header-n3"/>
    <w:p>
      <w:pPr>
        <w:pStyle w:val="Heading4"/>
      </w:pPr>
      <w:r>
        <w:t xml:space="preserve"> </w:t>
      </w:r>
      <w:r>
        <w:t xml:space="preserve">1.1</w:t>
      </w:r>
      <w:r>
        <w:t xml:space="preserve"> </w:t>
      </w:r>
      <w:r>
        <w:rPr>
          <w:b/>
        </w:rPr>
        <w:t xml:space="preserve">初治病人：</w:t>
      </w:r>
    </w:p>
    <w:p>
      <w:pPr>
        <w:pStyle w:val="FirstParagraph"/>
      </w:pPr>
      <w:r>
        <w:t xml:space="preserve">i. 一份血-PBMC用来做 single cell RNA&amp;VDJ seq，保障细胞量大于8000，走单细胞分析</w:t>
      </w:r>
    </w:p>
    <w:p>
      <w:pPr>
        <w:pStyle w:val="BodyText"/>
      </w:pPr>
      <w:r>
        <w:t xml:space="preserve">ii. 一份血-FACS挑TLB及其三种亚型</w:t>
      </w:r>
    </w:p>
    <w:p>
      <w:pPr>
        <w:numPr>
          <w:ilvl w:val="0"/>
          <w:numId w:val="1001"/>
        </w:numPr>
      </w:pPr>
      <w:r>
        <w:t xml:space="preserve">最好能培养（可以做很多功能试验）（也可以作为最后用药部分验证）</w:t>
      </w:r>
    </w:p>
    <w:p>
      <w:pPr>
        <w:numPr>
          <w:ilvl w:val="0"/>
          <w:numId w:val="1001"/>
        </w:numPr>
      </w:pPr>
      <w:r>
        <w:t xml:space="preserve">辰睿提供一下TLB三种亚型的marker，可以尝试分一下3种亚型（</w:t>
      </w:r>
      <w:r>
        <w:rPr>
          <w:b/>
        </w:rPr>
        <w:t xml:space="preserve">确定TLB的存在性</w:t>
      </w:r>
      <w:r>
        <w:t xml:space="preserve">）</w:t>
      </w:r>
    </w:p>
    <w:p>
      <w:pPr>
        <w:numPr>
          <w:ilvl w:val="0"/>
          <w:numId w:val="1001"/>
        </w:numPr>
      </w:pPr>
      <w:r>
        <w:t xml:space="preserve">钱博去问问协和实验室FACS以及抗体的情况</w:t>
      </w:r>
    </w:p>
    <w:p>
      <w:pPr>
        <w:pStyle w:val="FirstParagraph"/>
      </w:pPr>
      <w:r>
        <w:rPr>
          <w:b/>
        </w:rPr>
        <w:t xml:space="preserve">目前再来一个病人就可以将初治病人的流程走一遍（计划是一共收集12个）</w:t>
      </w:r>
    </w:p>
    <w:bookmarkEnd w:id="20"/>
    <w:bookmarkStart w:id="21" w:name="header-n9"/>
    <w:p>
      <w:pPr>
        <w:pStyle w:val="Heading4"/>
      </w:pPr>
      <w:r>
        <w:rPr>
          <w:b/>
        </w:rPr>
        <w:t xml:space="preserve">1.2 小鼠模型：</w:t>
      </w:r>
    </w:p>
    <w:p>
      <w:pPr>
        <w:pStyle w:val="FirstParagraph"/>
      </w:pPr>
      <w:r>
        <w:t xml:space="preserve">目前协和有SLE小鼠模型，但是没有SLE_PAH的模型，最后现在能用一只SLE的小鼠筛选TLB做一下预实验，如果能够成功，许多机制实验都可以在小鼠中进行，包括之后的药物筛选等等。</w:t>
      </w:r>
    </w:p>
    <w:p>
      <w:pPr>
        <w:pStyle w:val="BodyText"/>
      </w:pPr>
      <w:r>
        <w:t xml:space="preserve">钱博帮我们问问SLE的情况</w:t>
      </w:r>
    </w:p>
    <w:bookmarkEnd w:id="21"/>
    <w:bookmarkStart w:id="22" w:name="header-n56"/>
    <w:p>
      <w:pPr>
        <w:pStyle w:val="Heading4"/>
      </w:pPr>
      <w:r>
        <w:t xml:space="preserve">1.3 bio-marker 预实验</w:t>
      </w:r>
    </w:p>
    <w:p>
      <w:pPr>
        <w:pStyle w:val="FirstParagraph"/>
      </w:pPr>
      <w:r>
        <w:t xml:space="preserve">由于初治病人收集起来非常慢，并且需要多中心协同（大概需要一年的时间），而复查的病人多在一个月的时间里就可以有10例左右。所以找bio-marker的工作同时开展，目前认定的潜在的bio-marker是TLB不同亚型之间的比例/转录组的变化。</w:t>
      </w:r>
    </w:p>
    <w:p>
      <w:pPr>
        <w:pStyle w:val="BodyText"/>
      </w:pPr>
      <w:r>
        <w:t xml:space="preserve">初步计划是收集免疫抑制疗法</w:t>
      </w:r>
      <w:r>
        <w:rPr>
          <w:b/>
        </w:rPr>
        <w:t xml:space="preserve">有效果、没效果</w:t>
      </w:r>
      <w:r>
        <w:t xml:space="preserve">的病人各10例，FACS分选TLB测bulk RNA seq（正式实验更多，应该是100例），先看TLB的亚型与疗法效果之间的关联。如果TLB亚型比例上没有显著差别就看TLB内部的转录组的总体变化。</w:t>
      </w:r>
    </w:p>
    <w:p>
      <w:pPr>
        <w:pStyle w:val="BodyText"/>
      </w:pPr>
    </w:p>
    <w:bookmarkEnd w:id="22"/>
    <w:bookmarkEnd w:id="23"/>
    <w:bookmarkStart w:id="24" w:name="header-n38"/>
    <w:p>
      <w:pPr>
        <w:pStyle w:val="Heading2"/>
      </w:pPr>
      <w:r>
        <w:t xml:space="preserve">二 生物信息</w:t>
      </w:r>
    </w:p>
    <w:p>
      <w:pPr>
        <w:numPr>
          <w:ilvl w:val="0"/>
          <w:numId w:val="1002"/>
        </w:numPr>
      </w:pPr>
      <w:r>
        <w:t xml:space="preserve">申请Nat imm 的33人 SLE的数据</w:t>
      </w:r>
    </w:p>
    <w:p>
      <w:pPr>
        <w:numPr>
          <w:ilvl w:val="0"/>
          <w:numId w:val="1002"/>
        </w:numPr>
      </w:pPr>
      <w:r>
        <w:t xml:space="preserve">BCR与抗原的对接，钱博可以提供医院诊断病人时候所测的一些抗核抗体、自身抗原的一些指标，这些SLE specific的数据在我们所用的数据库中不一定有，所以非常有参考价值</w:t>
      </w:r>
    </w:p>
    <w:p>
      <w:pPr>
        <w:pStyle w:val="FirstParagraph"/>
      </w:pPr>
    </w:p>
    <w:bookmarkEnd w:id="24"/>
    <w:bookmarkStart w:id="25" w:name="header-n45"/>
    <w:p>
      <w:pPr>
        <w:pStyle w:val="Heading2"/>
      </w:pPr>
      <w:r>
        <w:t xml:space="preserve">三 杂项</w:t>
      </w:r>
    </w:p>
    <w:p>
      <w:pPr>
        <w:numPr>
          <w:ilvl w:val="0"/>
          <w:numId w:val="1003"/>
        </w:numPr>
      </w:pPr>
      <w:r>
        <w:t xml:space="preserve">把钱博拉到胡家志老师群里面</w:t>
      </w:r>
    </w:p>
    <w:p>
      <w:pPr>
        <w:numPr>
          <w:ilvl w:val="0"/>
          <w:numId w:val="1003"/>
        </w:numPr>
      </w:pPr>
      <w:r>
        <w:t xml:space="preserve">钱博取消了贝瑞公司生物信息分析的费用，省的钱可以多测几个样本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2021-03-29T13:42:34Z</dcterms:created>
  <dcterms:modified xsi:type="dcterms:W3CDTF">2021-03-29T13:42:34Z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