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0035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814"/>
        <w:gridCol w:w="4221"/>
      </w:tblGrid>
      <w:tr>
        <w:trPr>
          <w:trHeight w:val="720" w:hRule="exact"/>
          <w:cantSplit/>
        </w:trPr>
        <w:tc>
          <w:tcPr>
            <w:tcW w:type="dxa" w:w="581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 w:val="0"/>
              <w:keepLines/>
              <w:widowControl/>
              <w:spacing w:before="0" w:after="0" w:lineRule="auto" w:line="240"/>
              <w:ind w:left="0" w:right="0"/>
            </w:pPr>
            <w:r>
              <w:rPr>
                <w:rFonts w:ascii="Arial" w:hAnsi="Arial" w:eastAsia="Hiragino Sans GB W6"/>
                <w:b/>
                <w:i w:val="0"/>
                <w:color w:val="182235"/>
                <w:sz w:val="51"/>
              </w:rPr>
              <w:t>高荣徽</w:t>
            </w:r>
          </w:p>
        </w:tc>
        <w:tc>
          <w:tcPr>
            <w:tcW w:type="dxa" w:w="4221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 w:val="0"/>
              <w:keepLines/>
              <w:widowControl/>
              <w:spacing w:before="0" w:after="20" w:lineRule="auto" w:line="240"/>
              <w:ind w:left="0" w:right="0"/>
              <w:jc w:val="right"/>
            </w:pPr>
            <w:r>
              <w:rPr>
                <w:rFonts w:ascii="Arial" w:hAnsi="Arial" w:eastAsia="Hiragino Sans GB W6"/>
                <w:b/>
                <w:i w:val="0"/>
                <w:color w:val="315A9B"/>
                <w:sz w:val="17"/>
              </w:rPr>
              <w:t xml:space="preserve">电话  </w:t>
            </w:r>
            <w:r>
              <w:rPr>
                <w:rFonts w:ascii="Arial" w:hAnsi="Arial" w:eastAsia="Hiragino Sans GB W3"/>
                <w:b w:val="0"/>
                <w:i w:val="0"/>
                <w:color w:val="6D7B91"/>
                <w:sz w:val="18"/>
              </w:rPr>
              <w:t>15927328070</w:t>
            </w:r>
          </w:p>
          <w:p>
            <w:pPr>
              <w:keepNext w:val="0"/>
              <w:keepLines/>
              <w:widowControl/>
              <w:spacing w:before="0" w:after="0" w:lineRule="auto" w:line="240"/>
              <w:ind w:left="0" w:right="0"/>
              <w:jc w:val="right"/>
            </w:pPr>
            <w:r>
              <w:rPr>
                <w:rFonts w:ascii="Arial" w:hAnsi="Arial" w:eastAsia="Hiragino Sans GB W6"/>
                <w:b/>
                <w:i w:val="0"/>
                <w:color w:val="315A9B"/>
                <w:sz w:val="17"/>
              </w:rPr>
              <w:t xml:space="preserve">邮箱  </w:t>
            </w:r>
            <w:r>
              <w:rPr>
                <w:rFonts w:ascii="Arial" w:hAnsi="Arial" w:eastAsia="Hiragino Sans GB W3"/>
                <w:b w:val="0"/>
                <w:i w:val="0"/>
                <w:color w:val="6D7B91"/>
                <w:sz w:val="18"/>
              </w:rPr>
              <w:t>gao_rh@foxmail.com</w:t>
            </w:r>
          </w:p>
        </w:tc>
      </w:tr>
    </w:tbl>
    <w:p>
      <w:pPr>
        <w:keepNext w:val="0"/>
        <w:keepLines/>
        <w:widowControl/>
        <w:spacing w:before="20" w:after="80" w:lineRule="auto" w:line="240"/>
        <w:ind w:left="0" w:right="0"/>
        <w:pBdr>
          <w:bottom w:val="single" w:sz="8" w:space="1" w:color="315A9B"/>
        </w:pBdr>
      </w:pPr>
    </w:p>
    <w:p>
      <w:pPr>
        <w:pStyle w:val="Heading1"/>
        <w:keepNext/>
        <w:keepLines/>
        <w:widowControl/>
        <w:spacing w:before="0" w:after="70" w:lineRule="auto" w:line="240"/>
        <w:ind w:left="0" w:right="0"/>
        <w:pBdr>
          <w:bottom w:val="single" w:sz="3" w:space="2" w:color="D8E2F2"/>
        </w:pBdr>
      </w:pPr>
      <w:r>
        <w:rPr>
          <w:rFonts w:ascii="Arial" w:hAnsi="Arial" w:eastAsia="Hiragino Sans GB W6"/>
          <w:b/>
          <w:i w:val="0"/>
          <w:color w:val="315A9B"/>
          <w:sz w:val="24"/>
        </w:rPr>
        <w:t xml:space="preserve">▐  </w:t>
      </w:r>
      <w:r>
        <w:rPr>
          <w:rFonts w:ascii="Arial" w:hAnsi="Arial" w:eastAsia="Hiragino Sans GB W6"/>
          <w:b/>
          <w:i w:val="0"/>
          <w:color w:val="315A9B"/>
          <w:sz w:val="25"/>
        </w:rPr>
        <w:t>教育背景</w:t>
      </w:r>
    </w:p>
    <w:tbl>
      <w:tblPr>
        <w:tblW w:type="dxa" w:w="10035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128"/>
        <w:gridCol w:w="1907"/>
      </w:tblGrid>
      <w:tr>
        <w:tc>
          <w:tcPr>
            <w:tcW w:type="dxa" w:w="8128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 w:val="0"/>
              <w:keepLines/>
              <w:widowControl/>
              <w:spacing w:before="0" w:after="0" w:lineRule="auto" w:line="240"/>
              <w:ind w:left="0" w:right="0"/>
            </w:pPr>
            <w:r>
              <w:rPr>
                <w:rFonts w:ascii="Arial" w:hAnsi="Arial" w:eastAsia="Hiragino Sans GB W6"/>
                <w:b/>
                <w:i w:val="0"/>
                <w:color w:val="182235"/>
                <w:sz w:val="19"/>
              </w:rPr>
              <w:t>中国地质大学（武汉）｜地图制图学与地理信息工程｜硕士</w:t>
            </w:r>
          </w:p>
        </w:tc>
        <w:tc>
          <w:tcPr>
            <w:tcW w:type="dxa" w:w="1907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 w:val="0"/>
              <w:keepLines/>
              <w:widowControl/>
              <w:spacing w:before="0" w:after="0" w:lineRule="auto" w:line="240"/>
              <w:ind w:left="0" w:right="0"/>
              <w:jc w:val="right"/>
            </w:pPr>
            <w:r>
              <w:rPr>
                <w:rFonts w:ascii="Arial" w:hAnsi="Arial" w:eastAsia="Hiragino Sans GB W3"/>
                <w:b w:val="0"/>
                <w:i w:val="0"/>
                <w:color w:val="6D7B91"/>
                <w:sz w:val="17"/>
              </w:rPr>
              <w:t>2022.09-2025.06</w:t>
            </w:r>
          </w:p>
        </w:tc>
      </w:tr>
    </w:tbl>
    <w:p>
      <w:pPr>
        <w:keepNext w:val="0"/>
        <w:keepLines/>
        <w:widowControl/>
        <w:spacing w:before="0" w:after="50" w:lineRule="auto" w:line="252"/>
        <w:ind w:left="0" w:right="0"/>
      </w:pPr>
      <w:r>
        <w:rPr>
          <w:rFonts w:ascii="Arial" w:hAnsi="Arial" w:eastAsia="Hiragino Sans GB W3"/>
          <w:b w:val="0"/>
          <w:i w:val="0"/>
          <w:color w:val="6D7B91"/>
          <w:sz w:val="17"/>
        </w:rPr>
        <w:t>GPA 4.0/5.0；研究方向：时空大数据挖掘与城市计算；发表1篇一区论文（CCF B）。</w:t>
      </w:r>
    </w:p>
    <w:tbl>
      <w:tblPr>
        <w:tblW w:type="dxa" w:w="10035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128"/>
        <w:gridCol w:w="1907"/>
      </w:tblGrid>
      <w:tr>
        <w:tc>
          <w:tcPr>
            <w:tcW w:type="dxa" w:w="8128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 w:val="0"/>
              <w:keepLines/>
              <w:widowControl/>
              <w:spacing w:before="0" w:after="0" w:lineRule="auto" w:line="240"/>
              <w:ind w:left="0" w:right="0"/>
            </w:pPr>
            <w:r>
              <w:rPr>
                <w:rFonts w:ascii="Arial" w:hAnsi="Arial" w:eastAsia="Hiragino Sans GB W6"/>
                <w:b/>
                <w:i w:val="0"/>
                <w:color w:val="182235"/>
                <w:sz w:val="19"/>
              </w:rPr>
              <w:t>中国地质大学（武汉）｜资源勘查工程（基地班）｜本科</w:t>
            </w:r>
          </w:p>
        </w:tc>
        <w:tc>
          <w:tcPr>
            <w:tcW w:type="dxa" w:w="1907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 w:val="0"/>
              <w:keepLines/>
              <w:widowControl/>
              <w:spacing w:before="0" w:after="0" w:lineRule="auto" w:line="240"/>
              <w:ind w:left="0" w:right="0"/>
              <w:jc w:val="right"/>
            </w:pPr>
            <w:r>
              <w:rPr>
                <w:rFonts w:ascii="Arial" w:hAnsi="Arial" w:eastAsia="Hiragino Sans GB W3"/>
                <w:b w:val="0"/>
                <w:i w:val="0"/>
                <w:color w:val="6D7B91"/>
                <w:sz w:val="17"/>
              </w:rPr>
              <w:t>2018.09-2022.06</w:t>
            </w:r>
          </w:p>
        </w:tc>
      </w:tr>
    </w:tbl>
    <w:p>
      <w:pPr>
        <w:keepNext w:val="0"/>
        <w:keepLines/>
        <w:widowControl/>
        <w:spacing w:before="0" w:after="50" w:lineRule="auto" w:line="252"/>
        <w:ind w:left="0" w:right="0"/>
      </w:pPr>
      <w:r>
        <w:rPr>
          <w:rFonts w:ascii="Arial" w:hAnsi="Arial" w:eastAsia="Hiragino Sans GB W3"/>
          <w:b w:val="0"/>
          <w:i w:val="0"/>
          <w:color w:val="6D7B91"/>
          <w:sz w:val="17"/>
        </w:rPr>
        <w:t>GPA 前15%，获得保研资格；全国大学生数学竞赛国家二等奖；大学英语四/六级 527/500。</w:t>
      </w:r>
    </w:p>
    <w:p>
      <w:pPr>
        <w:pStyle w:val="Heading1"/>
        <w:keepNext/>
        <w:keepLines/>
        <w:widowControl/>
        <w:spacing w:before="120" w:after="70" w:lineRule="auto" w:line="240"/>
        <w:ind w:left="0" w:right="0"/>
        <w:pBdr>
          <w:bottom w:val="single" w:sz="3" w:space="2" w:color="D8E2F2"/>
        </w:pBdr>
      </w:pPr>
      <w:r>
        <w:rPr>
          <w:rFonts w:ascii="Arial" w:hAnsi="Arial" w:eastAsia="Hiragino Sans GB W6"/>
          <w:b/>
          <w:i w:val="0"/>
          <w:color w:val="315A9B"/>
          <w:sz w:val="24"/>
        </w:rPr>
        <w:t xml:space="preserve">▐  </w:t>
      </w:r>
      <w:r>
        <w:rPr>
          <w:rFonts w:ascii="Arial" w:hAnsi="Arial" w:eastAsia="Hiragino Sans GB W6"/>
          <w:b/>
          <w:i w:val="0"/>
          <w:color w:val="315A9B"/>
          <w:sz w:val="25"/>
        </w:rPr>
        <w:t>工作经历</w:t>
      </w:r>
    </w:p>
    <w:tbl>
      <w:tblPr>
        <w:tblW w:type="dxa" w:w="10035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626"/>
        <w:gridCol w:w="2409"/>
      </w:tblGrid>
      <w:tr>
        <w:tc>
          <w:tcPr>
            <w:tcW w:type="dxa" w:w="762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keepNext w:val="0"/>
              <w:keepLines/>
              <w:widowControl/>
              <w:spacing w:before="0" w:after="0" w:lineRule="auto" w:line="240"/>
              <w:ind w:left="0" w:right="0"/>
            </w:pPr>
            <w:r>
              <w:rPr>
                <w:rFonts w:ascii="Arial" w:hAnsi="Arial" w:eastAsia="Hiragino Sans GB W6"/>
                <w:b/>
                <w:i w:val="0"/>
                <w:color w:val="182235"/>
                <w:sz w:val="20"/>
              </w:rPr>
              <w:t>美团｜Agent 开发工程师</w:t>
            </w:r>
          </w:p>
        </w:tc>
        <w:tc>
          <w:tcPr>
            <w:tcW w:type="dxa" w:w="240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keepNext w:val="0"/>
              <w:keepLines/>
              <w:widowControl/>
              <w:spacing w:before="0" w:after="0" w:lineRule="auto" w:line="240"/>
              <w:ind w:left="0" w:right="0"/>
              <w:jc w:val="right"/>
            </w:pPr>
            <w:r>
              <w:rPr>
                <w:rFonts w:ascii="Arial" w:hAnsi="Arial" w:eastAsia="Hiragino Sans GB W3"/>
                <w:b w:val="0"/>
                <w:i w:val="0"/>
                <w:color w:val="6D7B91"/>
                <w:sz w:val="17"/>
              </w:rPr>
              <w:t>2025.07-2026.08</w:t>
            </w:r>
          </w:p>
        </w:tc>
      </w:tr>
    </w:tbl>
    <w:p>
      <w:pPr>
        <w:keepNext w:val="0"/>
        <w:keepLines/>
        <w:widowControl/>
        <w:spacing w:before="0" w:after="50" w:lineRule="auto" w:line="264"/>
        <w:ind w:left="0" w:right="0"/>
      </w:pPr>
      <w:r>
        <w:rPr>
          <w:rFonts w:ascii="Arial" w:hAnsi="Arial" w:eastAsia="Hiragino Sans GB W6"/>
          <w:b/>
          <w:i w:val="0"/>
          <w:color w:val="182235"/>
          <w:sz w:val="17"/>
        </w:rPr>
        <w:t>负责保险业务 Agent 开发，主导相关项目的技术方案设计、开发与落地。日常工作中主动应用 AI 提升个人及团队效率，建设公共数据智能机器人，解决常见口径咨询与常规取数问题；同时为团队开发周报自动化、告警、风险处理、Todo 提醒等 AI 小工具，并在大组内多次开展 AI 开发与使用实践分享。</w:t>
      </w:r>
      <w:r>
        <w:rPr>
          <w:rFonts w:ascii="Arial" w:hAnsi="Arial" w:eastAsia="Hiragino Sans GB W3"/>
          <w:b w:val="0"/>
          <w:i w:val="0"/>
          <w:color w:val="182235"/>
          <w:sz w:val="17"/>
        </w:rPr>
      </w:r>
    </w:p>
    <w:p>
      <w:pPr>
        <w:pStyle w:val="Heading1"/>
        <w:keepNext/>
        <w:keepLines/>
        <w:widowControl/>
        <w:spacing w:before="120" w:after="70" w:lineRule="auto" w:line="240"/>
        <w:ind w:left="0" w:right="0"/>
        <w:pBdr>
          <w:bottom w:val="single" w:sz="3" w:space="2" w:color="D8E2F2"/>
        </w:pBdr>
      </w:pPr>
      <w:r>
        <w:rPr>
          <w:rFonts w:ascii="Arial" w:hAnsi="Arial" w:eastAsia="Hiragino Sans GB W6"/>
          <w:b/>
          <w:i w:val="0"/>
          <w:color w:val="315A9B"/>
          <w:sz w:val="24"/>
        </w:rPr>
        <w:t xml:space="preserve">▐  </w:t>
      </w:r>
      <w:r>
        <w:rPr>
          <w:rFonts w:ascii="Arial" w:hAnsi="Arial" w:eastAsia="Hiragino Sans GB W6"/>
          <w:b/>
          <w:i w:val="0"/>
          <w:color w:val="315A9B"/>
          <w:sz w:val="25"/>
        </w:rPr>
        <w:t>公司项目</w:t>
      </w:r>
    </w:p>
    <w:tbl>
      <w:tblPr>
        <w:tblW w:type="dxa" w:w="10035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114"/>
        <w:gridCol w:w="1806"/>
        <w:gridCol w:w="4115"/>
      </w:tblGrid>
      <w:tr>
        <w:tc>
          <w:tcPr>
            <w:tcW w:type="dxa" w:w="411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/>
              <w:keepLines/>
              <w:widowControl/>
              <w:spacing w:before="50" w:after="10" w:lineRule="auto" w:line="240"/>
              <w:ind w:left="0" w:right="0"/>
            </w:pPr>
            <w:r>
              <w:rPr>
                <w:rFonts w:ascii="Arial" w:hAnsi="Arial" w:eastAsia="Arial"/>
                <w:b/>
                <w:i w:val="0"/>
                <w:color w:val="315A9B"/>
                <w:sz w:val="15"/>
              </w:rPr>
              <w:t xml:space="preserve">■  </w:t>
            </w:r>
            <w:r>
              <w:rPr>
                <w:rFonts w:ascii="Arial" w:hAnsi="Arial" w:eastAsia="Hiragino Sans GB W6"/>
                <w:b/>
                <w:i w:val="0"/>
                <w:color w:val="182235"/>
                <w:sz w:val="21"/>
              </w:rPr>
              <w:t>智能经营分析 Agent</w:t>
            </w:r>
          </w:p>
        </w:tc>
        <w:tc>
          <w:tcPr>
            <w:tcW w:type="dxa" w:w="180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/>
              <w:keepLines/>
              <w:widowControl/>
              <w:spacing w:before="50" w:after="10" w:lineRule="auto" w:line="240"/>
              <w:ind w:left="0" w:right="0"/>
              <w:jc w:val="center"/>
            </w:pPr>
            <w:r>
              <w:rPr>
                <w:rFonts w:ascii="Arial" w:hAnsi="Arial" w:eastAsia="Hiragino Sans GB W6"/>
                <w:b/>
                <w:i w:val="0"/>
                <w:color w:val="315A9B"/>
                <w:sz w:val="17"/>
              </w:rPr>
              <w:t>技术负责人</w:t>
            </w:r>
          </w:p>
        </w:tc>
        <w:tc>
          <w:tcPr>
            <w:tcW w:type="dxa" w:w="4115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/>
              <w:keepLines/>
              <w:widowControl/>
              <w:spacing w:before="50" w:after="10" w:lineRule="auto" w:line="240"/>
              <w:ind w:left="0" w:right="0"/>
              <w:jc w:val="right"/>
            </w:pPr>
            <w:r>
              <w:rPr>
                <w:rFonts w:ascii="Arial" w:hAnsi="Arial" w:eastAsia="Hiragino Sans GB W3"/>
                <w:b w:val="0"/>
                <w:i w:val="0"/>
                <w:color w:val="6D7B91"/>
                <w:sz w:val="17"/>
              </w:rPr>
              <w:t>2025.12-2026.08</w:t>
            </w:r>
          </w:p>
        </w:tc>
      </w:tr>
    </w:tbl>
    <w:p>
      <w:pPr>
        <w:keepNext w:val="0"/>
        <w:keepLines/>
        <w:widowControl/>
        <w:spacing w:before="0" w:after="28" w:lineRule="auto" w:line="264"/>
        <w:ind w:left="0" w:right="0"/>
      </w:pPr>
      <w:r>
        <w:rPr>
          <w:rFonts w:ascii="Arial" w:hAnsi="Arial" w:eastAsia="Hiragino Sans GB W6"/>
          <w:b/>
          <w:i w:val="0"/>
          <w:color w:val="182235"/>
          <w:sz w:val="17"/>
        </w:rPr>
        <w:t>项目简介：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场景险日常经营中存在大量个性化的取数与分析需求，传统以 SQL、看板和分析报告为主要交付形式，响应慢且耗费人力。为此建设面向产运、商分及研发等用户的智能经营分析 Agent，覆盖日常取数、业务复盘、周报日报、会议追问和主动告警等场景，在提升分析效率的同时，让更多经营决策获得及时的数据分析支撑。</w:t>
      </w:r>
    </w:p>
    <w:p>
      <w:pPr>
        <w:keepNext w:val="0"/>
        <w:keepLines/>
        <w:widowControl/>
        <w:spacing w:before="0" w:after="40" w:lineRule="auto" w:line="264"/>
        <w:ind w:left="0" w:right="0"/>
      </w:pPr>
      <w:r>
        <w:rPr>
          <w:rFonts w:ascii="Arial" w:hAnsi="Arial" w:eastAsia="Hiragino Sans GB W6"/>
          <w:b/>
          <w:i w:val="0"/>
          <w:color w:val="182235"/>
          <w:sz w:val="17"/>
        </w:rPr>
        <w:t>业务成效：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周活跃用户30余人，每月累计节省探数查数、分析报告、业务复盘及周报/日报等工作约23 PD，并将通常需要数小时完成的分析缩短至1小时以内；Agent 问题回答准确率达到91%，用户调研显示会话满意度达到88%。</w:t>
      </w:r>
    </w:p>
    <w:p>
      <w:pPr>
        <w:pStyle w:val="ListBullet"/>
        <w:keepNext w:val="0"/>
        <w:keepLines/>
        <w:widowControl/>
        <w:spacing w:before="0" w:after="40" w:lineRule="auto" w:line="264"/>
        <w:ind w:left="259" w:right="0" w:hanging="173"/>
      </w:pPr>
      <w:r>
        <w:rPr>
          <w:rFonts w:ascii="Arial" w:hAnsi="Arial" w:eastAsia="Hiragino Sans GB W6"/>
          <w:b/>
          <w:i w:val="0"/>
          <w:color w:val="182235"/>
          <w:sz w:val="17"/>
        </w:rPr>
        <w:t>Agent 架构与任务编排：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设计并实现主 Agent、取数 Agent 与分析 Agent 的协作架构；主 Agent 负责口径澄清、任务编排与结果整合，取数 Agent 统一承接取数诉求，分析 Agent 负责绘图、制表及分析报告生成。</w:t>
      </w:r>
    </w:p>
    <w:p>
      <w:pPr>
        <w:pStyle w:val="ListBullet"/>
        <w:keepNext w:val="0"/>
        <w:keepLines/>
        <w:widowControl/>
        <w:spacing w:before="0" w:after="40" w:lineRule="auto" w:line="264"/>
        <w:ind w:left="259" w:right="0" w:hanging="173"/>
      </w:pPr>
      <w:r>
        <w:rPr>
          <w:rFonts w:ascii="Arial" w:hAnsi="Arial" w:eastAsia="Hiragino Sans GB W6"/>
          <w:b/>
          <w:i w:val="0"/>
          <w:color w:val="182235"/>
          <w:sz w:val="17"/>
        </w:rPr>
        <w:t>可信执行与评测：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将大模型驱动的自然语言取数从不稳定生成改造成“口径澄清—结构化参数—确定性工具执行—结果校验”的受控链路，并通过200道业务取数问题评测集持续验证效果，取数 Agent 准确率达到95%。</w:t>
      </w:r>
    </w:p>
    <w:p>
      <w:pPr>
        <w:pStyle w:val="ListBullet"/>
        <w:keepNext w:val="0"/>
        <w:keepLines/>
        <w:widowControl/>
        <w:spacing w:before="0" w:after="40" w:lineRule="auto" w:line="264"/>
        <w:ind w:left="259" w:right="0" w:hanging="173"/>
      </w:pPr>
      <w:r>
        <w:rPr>
          <w:rFonts w:ascii="Arial" w:hAnsi="Arial" w:eastAsia="Hiragino Sans GB W6"/>
          <w:b/>
          <w:i w:val="0"/>
          <w:color w:val="182235"/>
          <w:sz w:val="17"/>
        </w:rPr>
        <w:t>Skill 化分析能力：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联合商分及业务团队，将目标达成情况、渠道归因和用户留存归因等业务分析方法，拆解为下钻、漏斗、趋势和贡献分析等可组合 Skill；建设业务知识库，为 Agent 提供业务知识、分析知识和业务动作信息，支持常规经营分析与原因判断。</w:t>
      </w:r>
    </w:p>
    <w:p>
      <w:pPr>
        <w:pStyle w:val="ListBullet"/>
        <w:keepNext w:val="0"/>
        <w:keepLines/>
        <w:widowControl/>
        <w:spacing w:before="0" w:after="40" w:lineRule="auto" w:line="264"/>
        <w:ind w:left="259" w:right="0" w:hanging="173"/>
      </w:pPr>
      <w:r>
        <w:rPr>
          <w:rFonts w:ascii="Arial" w:hAnsi="Arial" w:eastAsia="Hiragino Sans GB W6"/>
          <w:b/>
          <w:i w:val="0"/>
          <w:color w:val="182235"/>
          <w:sz w:val="17"/>
        </w:rPr>
        <w:t>自我迭代与查询复用：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基于历史会话沉淀有效分析经验与业务知识，持续优化后续分析；保存耗时较长的查询结果，减少重复取数，提升分析效率。</w:t>
      </w:r>
    </w:p>
    <w:p>
      <w:pPr>
        <w:pStyle w:val="ListBullet"/>
        <w:keepNext w:val="0"/>
        <w:keepLines/>
        <w:widowControl/>
        <w:spacing w:before="0" w:after="52" w:lineRule="auto" w:line="264"/>
        <w:ind w:left="259" w:right="0" w:hanging="173"/>
      </w:pPr>
      <w:r>
        <w:rPr>
          <w:rFonts w:ascii="Arial" w:hAnsi="Arial" w:eastAsia="Hiragino Sans GB W6"/>
          <w:b/>
          <w:i w:val="0"/>
          <w:color w:val="182235"/>
          <w:sz w:val="17"/>
        </w:rPr>
        <w:t>主动服务：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将 Agent 从被动问答扩展为主动经营监控：围绕重点场景定时查询核心指标，发现异常后自动预分析并生成告警报告；已形成4类常驻通知，业务人员每日查看并继续追问。</w:t>
      </w:r>
    </w:p>
    <w:tbl>
      <w:tblPr>
        <w:tblW w:type="dxa" w:w="10035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114"/>
        <w:gridCol w:w="1806"/>
        <w:gridCol w:w="4115"/>
      </w:tblGrid>
      <w:tr>
        <w:tc>
          <w:tcPr>
            <w:tcW w:type="dxa" w:w="411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/>
              <w:keepLines/>
              <w:widowControl/>
              <w:spacing w:before="50" w:after="10" w:lineRule="auto" w:line="240"/>
              <w:ind w:left="0" w:right="0"/>
            </w:pPr>
            <w:r>
              <w:rPr>
                <w:rFonts w:ascii="Arial" w:hAnsi="Arial" w:eastAsia="Arial"/>
                <w:b/>
                <w:i w:val="0"/>
                <w:color w:val="315A9B"/>
                <w:sz w:val="15"/>
              </w:rPr>
              <w:t xml:space="preserve">■  </w:t>
            </w:r>
            <w:r>
              <w:rPr>
                <w:rFonts w:ascii="Arial" w:hAnsi="Arial" w:eastAsia="Hiragino Sans GB W6"/>
                <w:b/>
                <w:i w:val="0"/>
                <w:color w:val="182235"/>
                <w:sz w:val="21"/>
              </w:rPr>
              <w:t>理赔客服智能质检</w:t>
            </w:r>
          </w:p>
        </w:tc>
        <w:tc>
          <w:tcPr>
            <w:tcW w:type="dxa" w:w="180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/>
              <w:keepLines/>
              <w:widowControl/>
              <w:spacing w:before="50" w:after="10" w:lineRule="auto" w:line="240"/>
              <w:ind w:left="0" w:right="0"/>
              <w:jc w:val="center"/>
            </w:pPr>
            <w:r>
              <w:rPr>
                <w:rFonts w:ascii="Arial" w:hAnsi="Arial" w:eastAsia="Hiragino Sans GB W6"/>
                <w:b/>
                <w:i w:val="0"/>
                <w:color w:val="315A9B"/>
                <w:sz w:val="17"/>
              </w:rPr>
              <w:t>技术负责人</w:t>
            </w:r>
          </w:p>
        </w:tc>
        <w:tc>
          <w:tcPr>
            <w:tcW w:type="dxa" w:w="4115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/>
              <w:keepLines/>
              <w:widowControl/>
              <w:spacing w:before="50" w:after="10" w:lineRule="auto" w:line="240"/>
              <w:ind w:left="0" w:right="0"/>
              <w:jc w:val="right"/>
            </w:pPr>
            <w:r>
              <w:rPr>
                <w:rFonts w:ascii="Arial" w:hAnsi="Arial" w:eastAsia="Hiragino Sans GB W3"/>
                <w:b w:val="0"/>
                <w:i w:val="0"/>
                <w:color w:val="6D7B91"/>
                <w:sz w:val="17"/>
              </w:rPr>
              <w:t>2026.02-2026.05</w:t>
            </w:r>
          </w:p>
        </w:tc>
      </w:tr>
    </w:tbl>
    <w:p>
      <w:pPr>
        <w:keepNext w:val="0"/>
        <w:keepLines/>
        <w:widowControl/>
        <w:spacing w:before="0" w:after="28" w:lineRule="auto" w:line="264"/>
        <w:ind w:left="0" w:right="0"/>
      </w:pPr>
      <w:r>
        <w:rPr>
          <w:rFonts w:ascii="Arial" w:hAnsi="Arial" w:eastAsia="Hiragino Sans GB W6"/>
          <w:b/>
          <w:i w:val="0"/>
          <w:color w:val="182235"/>
          <w:sz w:val="17"/>
        </w:rPr>
        <w:t>项目简介：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以降低客诉、提升服务质量为目标，面向日均约1万条理赔客服通话，建设针对辱骂、争辩、指责等服务态度问题的智能质检能力，将依赖人工抽检的流程升级为“自动筛查-分级复核-人工确认”闭环。</w:t>
      </w:r>
    </w:p>
    <w:p>
      <w:pPr>
        <w:keepNext w:val="0"/>
        <w:keepLines/>
        <w:widowControl/>
        <w:spacing w:before="0" w:after="40" w:lineRule="auto" w:line="264"/>
        <w:ind w:left="0" w:right="0"/>
      </w:pPr>
      <w:r>
        <w:rPr>
          <w:rFonts w:ascii="Arial" w:hAnsi="Arial" w:eastAsia="Hiragino Sans GB W6"/>
          <w:b/>
          <w:i w:val="0"/>
          <w:color w:val="182235"/>
          <w:sz w:val="17"/>
        </w:rPr>
        <w:t>业务成效：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质检覆盖率由约5%提升至100%，释放1名专业质检员人力，周均确认严重违规问题由2-3条提升至7-10条；预计可辅助客诉率相对下降约14%。</w:t>
      </w:r>
    </w:p>
    <w:p>
      <w:pPr>
        <w:pStyle w:val="ListBullet"/>
        <w:keepNext w:val="0"/>
        <w:keepLines/>
        <w:widowControl/>
        <w:spacing w:before="0" w:after="40" w:lineRule="auto" w:line="264"/>
        <w:ind w:left="259" w:right="0" w:hanging="173"/>
      </w:pPr>
      <w:r>
        <w:rPr>
          <w:rFonts w:ascii="Arial" w:hAnsi="Arial" w:eastAsia="Hiragino Sans GB W6"/>
          <w:b/>
          <w:i w:val="0"/>
          <w:color w:val="182235"/>
          <w:sz w:val="17"/>
        </w:rPr>
        <w:t>质检标准与评测体系：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与业务及质检人员共同将“服务态度差”等抽象、主观标准拆解为可观察、可标注、可分级的判断规则；建成376条经三人交叉标注的高准确率样本集，并搭建自动化评测流程，评测集召回率达到97%，线上准确率达到85%。</w:t>
      </w:r>
    </w:p>
    <w:p>
      <w:pPr>
        <w:pStyle w:val="ListBullet"/>
        <w:keepNext w:val="0"/>
        <w:keepLines/>
        <w:widowControl/>
        <w:spacing w:before="0" w:after="40" w:lineRule="auto" w:line="264"/>
        <w:ind w:left="259" w:right="0" w:hanging="173"/>
      </w:pPr>
      <w:r>
        <w:rPr>
          <w:rFonts w:ascii="Arial" w:hAnsi="Arial" w:eastAsia="Hiragino Sans GB W6"/>
          <w:b/>
          <w:i w:val="0"/>
          <w:color w:val="182235"/>
          <w:sz w:val="17"/>
        </w:rPr>
        <w:t>提示词设计与自动化迭代：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围绕辱骂、争辩、指责等质检场景设计并持续优化 Prompt；构建 AI 驱动的自动迭代机制，由 AI 根据线上真实 Case 与人工复核结果自动调整 Prompt，并通过自动化评测验证迭代效果。</w:t>
      </w:r>
    </w:p>
    <w:p>
      <w:pPr>
        <w:pStyle w:val="ListBullet"/>
        <w:keepNext w:val="0"/>
        <w:keepLines/>
        <w:widowControl/>
        <w:spacing w:before="0" w:after="52" w:lineRule="auto" w:line="264"/>
        <w:ind w:left="259" w:right="0" w:hanging="173"/>
      </w:pPr>
      <w:r>
        <w:rPr>
          <w:rFonts w:ascii="Arial" w:hAnsi="Arial" w:eastAsia="Hiragino Sans GB W6"/>
          <w:b/>
          <w:i w:val="0"/>
          <w:color w:val="182235"/>
          <w:sz w:val="17"/>
        </w:rPr>
        <w:t>分层质检设计：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设计“关键词预筛-内部模型初审-脱敏-外部模型复核分级-人工确认”的分层链路，通过 Python 实现万级通话批处理、完整性校验、失败重试和日报通知。</w:t>
      </w:r>
    </w:p>
    <w:p>
      <w:pPr>
        <w:pStyle w:val="Heading1"/>
        <w:keepNext/>
        <w:keepLines/>
        <w:widowControl/>
        <w:spacing w:before="120" w:after="70" w:lineRule="auto" w:line="240"/>
        <w:ind w:left="0" w:right="0"/>
        <w:pBdr>
          <w:bottom w:val="single" w:sz="3" w:space="2" w:color="D8E2F2"/>
        </w:pBdr>
      </w:pPr>
      <w:r>
        <w:rPr>
          <w:rFonts w:ascii="Arial" w:hAnsi="Arial" w:eastAsia="Hiragino Sans GB W6"/>
          <w:b/>
          <w:i w:val="0"/>
          <w:color w:val="315A9B"/>
          <w:sz w:val="24"/>
        </w:rPr>
        <w:t xml:space="preserve">▐  </w:t>
      </w:r>
      <w:r>
        <w:rPr>
          <w:rFonts w:ascii="Arial" w:hAnsi="Arial" w:eastAsia="Hiragino Sans GB W6"/>
          <w:b/>
          <w:i w:val="0"/>
          <w:color w:val="315A9B"/>
          <w:sz w:val="25"/>
        </w:rPr>
        <w:t>个人项目</w:t>
      </w:r>
    </w:p>
    <w:p>
      <w:pPr>
        <w:tabs>
          <w:tab w:val="center" w:pos="5018"/>
          <w:tab w:val="right" w:pos="10035"/>
        </w:tabs>
        <w:keepNext/>
        <w:keepLines/>
        <w:widowControl/>
        <w:spacing w:before="50" w:after="10" w:lineRule="auto" w:line="240"/>
        <w:ind w:left="0" w:right="0"/>
      </w:pPr>
      <w:r>
        <w:rPr>
          <w:rFonts w:ascii="Arial" w:hAnsi="Arial" w:eastAsia="Arial"/>
          <w:b/>
          <w:i w:val="0"/>
          <w:color w:val="315A9B"/>
          <w:sz w:val="15"/>
        </w:rPr>
        <w:t xml:space="preserve">■  </w:t>
      </w:r>
      <w:r>
        <w:rPr>
          <w:rFonts w:ascii="Arial" w:hAnsi="Arial" w:eastAsia="Hiragino Sans GB W6"/>
          <w:b/>
          <w:i w:val="0"/>
          <w:color w:val="182235"/>
          <w:sz w:val="21"/>
        </w:rPr>
        <w:t>灰记 GeryRecord</w:t>
      </w:r>
      <w:r>
        <w:tab/>
      </w:r>
      <w:r>
        <w:rPr>
          <w:rFonts w:ascii="Arial" w:hAnsi="Arial" w:eastAsia="Hiragino Sans GB W6"/>
          <w:b/>
          <w:i w:val="0"/>
          <w:color w:val="315A9B"/>
          <w:sz w:val="17"/>
        </w:rPr>
        <w:t>个人项目</w:t>
      </w:r>
      <w:r>
        <w:tab/>
      </w:r>
      <w:r>
        <w:rPr>
          <w:rFonts w:ascii="Arial" w:hAnsi="Arial" w:eastAsia="Hiragino Sans GB W3"/>
          <w:b w:val="0"/>
          <w:i w:val="0"/>
          <w:color w:val="6D7B91"/>
          <w:sz w:val="17"/>
        </w:rPr>
        <w:t>2026.03-2026.08</w:t>
      </w:r>
    </w:p>
    <w:p>
      <w:pPr>
        <w:keepNext w:val="0"/>
        <w:keepLines/>
        <w:widowControl/>
        <w:spacing w:before="0" w:after="32" w:lineRule="auto" w:line="264"/>
        <w:ind w:left="0" w:right="0"/>
      </w:pPr>
      <w:r>
        <w:rPr>
          <w:rFonts w:ascii="Arial" w:hAnsi="Arial" w:eastAsia="Hiragino Sans GB W6"/>
          <w:b/>
          <w:i w:val="0"/>
          <w:color w:val="182235"/>
          <w:sz w:val="17"/>
        </w:rPr>
        <w:t>项目简介：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独立完成面向个人健康与生活管理的跨端 Agent 产品 MVP，覆盖 iPhone、Apple Watch 与 Mac；以可靠、低成本的日常记录为事实底座，由 Agent 串联历史分析、联网健康资料调研与建议及未来计划制定。</w:t>
      </w:r>
    </w:p>
    <w:p>
      <w:pPr>
        <w:pStyle w:val="ListBullet"/>
        <w:keepNext w:val="0"/>
        <w:keepLines/>
        <w:widowControl/>
        <w:spacing w:before="0" w:after="40" w:lineRule="auto" w:line="264"/>
        <w:ind w:left="259" w:right="0" w:hanging="173"/>
      </w:pPr>
      <w:r>
        <w:rPr>
          <w:rFonts w:ascii="Arial" w:hAnsi="Arial" w:eastAsia="Hiragino Sans GB W6"/>
          <w:b/>
          <w:i w:val="0"/>
          <w:color w:val="182235"/>
          <w:sz w:val="17"/>
        </w:rPr>
        <w:t>跨端全栈开发：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完成 iPhone、Apple Watch、Mac 常驻服务、本地数据层及 Agent 交互界面的全栈实现，打通记录采集、任务提交、Agent 执行、结果展示与计划采纳链路；以 iPhone 为本地事实主库，Mac 或模型离线时仍可独立记录。</w:t>
      </w:r>
    </w:p>
    <w:p>
      <w:pPr>
        <w:pStyle w:val="ListBullet"/>
        <w:keepNext w:val="0"/>
        <w:keepLines/>
        <w:widowControl/>
        <w:spacing w:before="0" w:after="52" w:lineRule="auto" w:line="264"/>
        <w:ind w:left="259" w:right="0" w:hanging="173"/>
      </w:pPr>
      <w:r>
        <w:rPr>
          <w:rFonts w:ascii="Arial" w:hAnsi="Arial" w:eastAsia="Hiragino Sans GB W6"/>
          <w:b/>
          <w:i w:val="0"/>
          <w:color w:val="182235"/>
          <w:sz w:val="17"/>
        </w:rPr>
        <w:t>多任务 Agent 编排：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基于 LangGraph 与受限 Codex CLI，将今日分析、七日分析、连续追问、资料调研和次日计划统一为可持久化任务；按任务范围组装上下文与证据白名单，由单一受限执行器生成结构化产物。</w:t>
      </w:r>
    </w:p>
    <w:p>
      <w:pPr>
        <w:pStyle w:val="ListBullet"/>
        <w:keepNext w:val="0"/>
        <w:keepLines/>
        <w:widowControl/>
        <w:spacing w:before="0" w:after="52" w:lineRule="auto" w:line="264"/>
        <w:ind w:left="259" w:right="0" w:hanging="173"/>
      </w:pPr>
      <w:r>
        <w:rPr>
          <w:rFonts w:ascii="Arial" w:hAnsi="Arial" w:eastAsia="Hiragino Sans GB W6"/>
          <w:b/>
          <w:i w:val="0"/>
          <w:color w:val="182235"/>
          <w:sz w:val="17"/>
        </w:rPr>
        <w:t>Agent Runtime 与可靠执行：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实现 Mac 端常驻 Agent Runtime，通过 SQLite 持久任务、租约、checkpoint、失败重试和原子化产物提交管理任务生命周期；iPhone 按产物 ID 拉取并校验结果，支持离线缓存和失败降级。</w:t>
      </w:r>
    </w:p>
    <w:p>
      <w:pPr>
        <w:pStyle w:val="ListBullet"/>
        <w:keepNext w:val="0"/>
        <w:keepLines/>
        <w:widowControl/>
        <w:spacing w:before="0" w:after="52" w:lineRule="auto" w:line="264"/>
        <w:ind w:left="259" w:right="0" w:hanging="173"/>
      </w:pPr>
      <w:r>
        <w:rPr>
          <w:rFonts w:ascii="Arial" w:hAnsi="Arial" w:eastAsia="Hiragino Sans GB W6"/>
          <w:b/>
          <w:i w:val="0"/>
          <w:color w:val="182235"/>
          <w:sz w:val="17"/>
        </w:rPr>
        <w:t>结构化交付与人机协作：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将 Agent 分析与计划产物映射为原生页面，支持基于父报告连续追问；分析结果只提供建议，计划草案须经用户确认后才能采纳，避免 Agent 直接修改事实与正式计划。</w:t>
      </w:r>
    </w:p>
    <w:p>
      <w:pPr>
        <w:pStyle w:val="Heading1"/>
        <w:keepNext/>
        <w:keepLines/>
        <w:widowControl/>
        <w:spacing w:before="120" w:after="70" w:lineRule="auto" w:line="240"/>
        <w:ind w:left="0" w:right="0"/>
        <w:pBdr>
          <w:bottom w:val="single" w:sz="3" w:space="2" w:color="D8E2F2"/>
        </w:pBdr>
      </w:pPr>
      <w:r>
        <w:rPr>
          <w:rFonts w:ascii="Arial" w:hAnsi="Arial" w:eastAsia="Hiragino Sans GB W6"/>
          <w:b/>
          <w:i w:val="0"/>
          <w:color w:val="315A9B"/>
          <w:sz w:val="24"/>
        </w:rPr>
        <w:t xml:space="preserve">▐  </w:t>
      </w:r>
      <w:r>
        <w:rPr>
          <w:rFonts w:ascii="Arial" w:hAnsi="Arial" w:eastAsia="Hiragino Sans GB W6"/>
          <w:b/>
          <w:i w:val="0"/>
          <w:color w:val="315A9B"/>
          <w:sz w:val="25"/>
        </w:rPr>
        <w:t>核心能力</w:t>
      </w:r>
    </w:p>
    <w:p>
      <w:pPr>
        <w:pStyle w:val="ListBullet"/>
        <w:keepNext w:val="0"/>
        <w:keepLines/>
        <w:widowControl/>
        <w:spacing w:before="0" w:after="30" w:lineRule="auto" w:line="264"/>
        <w:ind w:left="259" w:right="0" w:hanging="173"/>
      </w:pPr>
      <w:r>
        <w:rPr>
          <w:rFonts w:ascii="Arial" w:hAnsi="Arial" w:eastAsia="Hiragino Sans GB W6"/>
          <w:b/>
          <w:i w:val="0"/>
          <w:color w:val="182235"/>
          <w:sz w:val="17"/>
        </w:rPr>
        <w:t>Agent 架构：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多 Agent 与 Workflow 编排，LangGraph，Tool/Skill 设计。</w:t>
      </w:r>
    </w:p>
    <w:p>
      <w:pPr>
        <w:pStyle w:val="ListBullet"/>
        <w:keepNext w:val="0"/>
        <w:keepLines/>
        <w:widowControl/>
        <w:spacing w:before="0" w:after="30" w:lineRule="auto" w:line="264"/>
        <w:ind w:left="259" w:right="0" w:hanging="173"/>
      </w:pPr>
      <w:r>
        <w:rPr>
          <w:rFonts w:ascii="Arial" w:hAnsi="Arial" w:eastAsia="Hiragino Sans GB W6"/>
          <w:b/>
          <w:i w:val="0"/>
          <w:color w:val="182235"/>
          <w:sz w:val="17"/>
        </w:rPr>
        <w:t>Harness 工程：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会话与范围化上下文管理，受限 Tool/CLI 执行，持久任务、checkpoint、状态恢复与结果校验。</w:t>
      </w:r>
    </w:p>
    <w:p>
      <w:pPr>
        <w:pStyle w:val="ListBullet"/>
        <w:keepNext w:val="0"/>
        <w:keepLines/>
        <w:widowControl/>
        <w:spacing w:before="0" w:after="30" w:lineRule="auto" w:line="264"/>
        <w:ind w:left="259" w:right="0" w:hanging="173"/>
      </w:pPr>
      <w:r>
        <w:rPr>
          <w:rFonts w:ascii="Arial" w:hAnsi="Arial" w:eastAsia="Hiragino Sans GB W6"/>
          <w:b/>
          <w:i w:val="0"/>
          <w:color w:val="182235"/>
          <w:sz w:val="17"/>
        </w:rPr>
        <w:t>评测与迭代：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评测集与自动化回归，Bad Case 分析，Prompt 自动迭代，规则与结果校验。</w:t>
      </w:r>
    </w:p>
    <w:p>
      <w:pPr>
        <w:pStyle w:val="ListBullet"/>
        <w:keepNext w:val="0"/>
        <w:keepLines/>
        <w:widowControl/>
        <w:spacing w:before="0" w:after="40" w:lineRule="auto" w:line="264"/>
        <w:ind w:left="259" w:right="0" w:hanging="173"/>
      </w:pPr>
      <w:r>
        <w:rPr>
          <w:rFonts w:ascii="Arial" w:hAnsi="Arial" w:eastAsia="Hiragino Sans GB W6"/>
          <w:b/>
          <w:i w:val="0"/>
          <w:color w:val="182235"/>
          <w:sz w:val="17"/>
        </w:rPr>
        <w:t>工程开发：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Python、Java、SQL，具备 Agent 服务、任务调度、跨端应用及问题排查经验。</w:t>
      </w:r>
    </w:p>
    <w:p>
      <w:pPr>
        <w:pStyle w:val="ListBullet"/>
        <w:keepNext w:val="0"/>
        <w:keepLines/>
        <w:widowControl/>
        <w:spacing w:before="0" w:after="30" w:lineRule="auto" w:line="264"/>
        <w:ind w:left="259" w:right="0" w:hanging="173"/>
      </w:pPr>
      <w:r>
        <w:rPr>
          <w:rFonts w:ascii="Arial" w:hAnsi="Arial" w:eastAsia="Hiragino Sans GB W6"/>
          <w:b/>
          <w:i w:val="0"/>
          <w:color w:val="182235"/>
          <w:sz w:val="17"/>
        </w:rPr>
        <w:t>AI 实践：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累计使用超100亿 Token，将 AI 应用于日常需求开发、咨询机器人、重复配置及办公流程自动化。</w:t>
      </w:r>
    </w:p>
    <w:p>
      <w:pPr>
        <w:pStyle w:val="Heading1"/>
        <w:keepNext/>
        <w:keepLines/>
        <w:widowControl/>
        <w:spacing w:before="120" w:after="70" w:lineRule="auto" w:line="240"/>
        <w:ind w:left="0" w:right="0"/>
        <w:pBdr>
          <w:bottom w:val="single" w:sz="3" w:space="2" w:color="D8E2F2"/>
        </w:pBdr>
      </w:pPr>
      <w:r>
        <w:rPr>
          <w:rFonts w:ascii="Arial" w:hAnsi="Arial" w:eastAsia="Hiragino Sans GB W6"/>
          <w:b/>
          <w:i w:val="0"/>
          <w:color w:val="315A9B"/>
          <w:sz w:val="24"/>
        </w:rPr>
        <w:t xml:space="preserve">▐  </w:t>
      </w:r>
      <w:r>
        <w:rPr>
          <w:rFonts w:ascii="Arial" w:hAnsi="Arial" w:eastAsia="Hiragino Sans GB W6"/>
          <w:b/>
          <w:i w:val="0"/>
          <w:color w:val="315A9B"/>
          <w:sz w:val="25"/>
        </w:rPr>
        <w:t>论文</w:t>
      </w:r>
    </w:p>
    <w:p>
      <w:pPr>
        <w:pStyle w:val="ListBullet"/>
        <w:keepNext w:val="0"/>
        <w:keepLines/>
        <w:widowControl/>
        <w:spacing w:before="0" w:after="40" w:lineRule="auto" w:line="252"/>
        <w:ind w:left="259" w:right="0" w:hanging="173"/>
      </w:pPr>
      <w:r>
        <w:rPr>
          <w:rFonts w:ascii="Arial" w:hAnsi="Arial" w:eastAsia="Hiragino Sans GB W3"/>
          <w:b w:val="0"/>
          <w:i w:val="0"/>
          <w:color w:val="182235"/>
          <w:sz w:val="16"/>
        </w:rPr>
        <w:t xml:space="preserve">Yao Y.（导师）, </w:t>
      </w:r>
      <w:r>
        <w:rPr>
          <w:rFonts w:ascii="Arial" w:hAnsi="Arial" w:eastAsia="Hiragino Sans GB W6"/>
          <w:b/>
          <w:i w:val="0"/>
          <w:color w:val="182235"/>
          <w:sz w:val="16"/>
        </w:rPr>
        <w:t>Gao R.</w:t>
      </w:r>
      <w:r>
        <w:rPr>
          <w:rFonts w:ascii="Arial" w:hAnsi="Arial" w:eastAsia="Hiragino Sans GB W3"/>
          <w:b w:val="0"/>
          <w:i w:val="0"/>
          <w:color w:val="182235"/>
          <w:sz w:val="16"/>
        </w:rPr>
        <w:t>, Wu H., Dong A., et al. Explainable Mapping of the Irregular Land Use Parcel With a Data Fusion Deep-Learning Model. IEEE Transactions on Geoscience and Remote Sensing, 63, 2025, 1-15. [中科院一区 · CCF B]</w:t>
      </w:r>
    </w:p>
    <w:p>
      <w:pPr>
        <w:pStyle w:val="ListBullet"/>
        <w:keepNext w:val="0"/>
        <w:keepLines/>
        <w:widowControl/>
        <w:spacing w:before="0" w:after="40" w:lineRule="auto" w:line="252"/>
        <w:ind w:left="259" w:right="0" w:hanging="173"/>
      </w:pPr>
      <w:r>
        <w:rPr>
          <w:rFonts w:ascii="Arial" w:hAnsi="Arial" w:eastAsia="Hiragino Sans GB W3"/>
          <w:b w:val="0"/>
          <w:i w:val="0"/>
          <w:color w:val="182235"/>
          <w:sz w:val="16"/>
        </w:rPr>
        <w:t xml:space="preserve">Wu H., Jiang Z., Dong A., </w:t>
      </w:r>
      <w:r>
        <w:rPr>
          <w:rFonts w:ascii="Arial" w:hAnsi="Arial" w:eastAsia="Hiragino Sans GB W6"/>
          <w:b/>
          <w:i w:val="0"/>
          <w:color w:val="182235"/>
          <w:sz w:val="16"/>
        </w:rPr>
        <w:t>Gao R.</w:t>
      </w:r>
      <w:r>
        <w:rPr>
          <w:rFonts w:ascii="Arial" w:hAnsi="Arial" w:eastAsia="Hiragino Sans GB W3"/>
          <w:b w:val="0"/>
          <w:i w:val="0"/>
          <w:color w:val="182235"/>
          <w:sz w:val="16"/>
        </w:rPr>
        <w:t>, et al. DCAI-CLUD: A Data-Centric Framework for the Construction of Land-Use Datasets. International Journal of Geographical Information Science, 38(11), 2024, 2379-2402. [中科院一区 · CCF C]</w:t>
      </w:r>
    </w:p>
    <w:sectPr w:rsidR="00FC693F" w:rsidRPr="0006063C" w:rsidSect="00034616">
      <w:headerReference w:type="default" r:id="rId9"/>
      <w:footerReference w:type="default" r:id="rId10"/>
      <w:footerReference w:type="first" r:id="rId11"/>
      <w:pgSz w:w="11906" w:h="16838"/>
      <w:pgMar w:top="482" w:right="935" w:bottom="567" w:left="935" w:header="255" w:footer="255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dxa" w:w="9900"/>
      <w:jc w:val="left"/>
      <w:tblLayout w:type="fixed"/>
      <w:tblLook w:firstColumn="1" w:firstRow="1" w:lastColumn="0" w:lastRow="0" w:noHBand="0" w:noVBand="1" w:val="04A0"/>
      <w:tblInd w:w="0" w:type="dxa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600"/>
      <w:gridCol w:w="2300"/>
    </w:tblGrid>
    <w:tr>
      <w:tc>
        <w:tcPr>
          <w:tcW w:type="dxa" w:w="7600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keepNext w:val="0"/>
            <w:keepLines/>
            <w:widowControl/>
            <w:spacing w:before="0" w:after="0" w:lineRule="auto" w:line="240"/>
            <w:ind w:left="0" w:right="0"/>
          </w:pPr>
          <w:r>
            <w:rPr>
              <w:rFonts w:ascii="Arial" w:hAnsi="Arial" w:eastAsia="Hiragino Sans GB W3"/>
              <w:b w:val="0"/>
              <w:i w:val="0"/>
              <w:color w:val="6D7B91"/>
              <w:sz w:val="15"/>
            </w:rPr>
            <w:t>高荣徽</w:t>
          </w:r>
        </w:p>
      </w:tc>
      <w:tc>
        <w:tcPr>
          <w:tcW w:type="dxa" w:w="2300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keepNext w:val="0"/>
            <w:keepLines/>
            <w:widowControl/>
            <w:spacing w:before="0" w:after="0" w:lineRule="auto" w:line="240"/>
            <w:ind w:left="0" w:right="0"/>
            <w:jc w:val="right"/>
          </w:pPr>
          <w:r>
            <w:rPr>
              <w:rFonts w:ascii="Arial" w:hAnsi="Arial" w:eastAsia="Hiragino Sans GB W3"/>
              <w:b w:val="0"/>
              <w:i w:val="0"/>
              <w:color w:val="6D7B91"/>
              <w:sz w:val="16"/>
            </w:rPr>
            <w:fldChar w:fldCharType="begin"/>
            <w:instrText xml:space="preserve"> PAGE </w:instrText>
            <w:fldChar w:fldCharType="separate"/>
            <w:t>1</w:t>
            <w:fldChar w:fldCharType="end"/>
          </w:r>
        </w:p>
      </w:tc>
    </w:tr>
  </w:tbl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dxa" w:w="9900"/>
      <w:jc w:val="left"/>
      <w:tblLayout w:type="fixed"/>
      <w:tblLook w:firstColumn="1" w:firstRow="1" w:lastColumn="0" w:lastRow="0" w:noHBand="0" w:noVBand="1" w:val="04A0"/>
      <w:tblInd w:w="0" w:type="dxa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600"/>
      <w:gridCol w:w="2300"/>
    </w:tblGrid>
    <w:tr>
      <w:tc>
        <w:tcPr>
          <w:tcW w:type="dxa" w:w="7600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keepNext w:val="0"/>
            <w:keepLines/>
            <w:widowControl/>
            <w:spacing w:before="0" w:after="0" w:lineRule="auto" w:line="240"/>
            <w:ind w:left="0" w:right="0"/>
          </w:pPr>
          <w:r>
            <w:rPr>
              <w:rFonts w:ascii="Arial" w:hAnsi="Arial" w:eastAsia="Hiragino Sans GB W3"/>
              <w:b w:val="0"/>
              <w:i w:val="0"/>
              <w:color w:val="6D7B91"/>
              <w:sz w:val="15"/>
            </w:rPr>
            <w:t>高荣徽</w:t>
          </w:r>
        </w:p>
      </w:tc>
      <w:tc>
        <w:tcPr>
          <w:tcW w:type="dxa" w:w="2300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keepNext w:val="0"/>
            <w:keepLines/>
            <w:widowControl/>
            <w:spacing w:before="0" w:after="0" w:lineRule="auto" w:line="240"/>
            <w:ind w:left="0" w:right="0"/>
            <w:jc w:val="right"/>
          </w:pPr>
          <w:r>
            <w:rPr>
              <w:rFonts w:ascii="Arial" w:hAnsi="Arial" w:eastAsia="Hiragino Sans GB W3"/>
              <w:b w:val="0"/>
              <w:i w:val="0"/>
              <w:color w:val="6D7B91"/>
              <w:sz w:val="16"/>
            </w:rPr>
            <w:fldChar w:fldCharType="begin"/>
            <w:instrText xml:space="preserve"> PAGE </w:instrText>
            <w:fldChar w:fldCharType="separate"/>
            <w:t>1</w: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dxa" w:w="10035"/>
      <w:jc w:val="left"/>
      <w:tblLayout w:type="fixed"/>
      <w:tblLook w:firstColumn="1" w:firstRow="1" w:lastColumn="0" w:lastRow="0" w:noHBand="0" w:noVBand="1" w:val="04A0"/>
      <w:tblInd w:w="0" w:type="dxa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512"/>
      <w:gridCol w:w="6523"/>
    </w:tblGrid>
    <w:tr>
      <w:tc>
        <w:tcPr>
          <w:tcW w:type="dxa" w:w="3512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keepNext w:val="0"/>
            <w:keepLines/>
            <w:widowControl/>
            <w:spacing w:before="0" w:after="0" w:lineRule="auto" w:line="240"/>
            <w:ind w:left="0" w:right="0"/>
          </w:pPr>
          <w:r>
            <w:rPr>
              <w:rFonts w:ascii="Arial" w:hAnsi="Arial" w:eastAsia="Hiragino Sans GB W6"/>
              <w:b/>
              <w:i w:val="0"/>
              <w:color w:val="182235"/>
              <w:sz w:val="20"/>
            </w:rPr>
            <w:t>高荣徽</w:t>
          </w:r>
        </w:p>
      </w:tc>
      <w:tc>
        <w:tcPr>
          <w:tcW w:type="dxa" w:w="6523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keepNext w:val="0"/>
            <w:keepLines/>
            <w:widowControl/>
            <w:spacing w:before="0" w:after="0" w:lineRule="auto" w:line="240"/>
            <w:ind w:left="0" w:right="0"/>
            <w:jc w:val="right"/>
          </w:pPr>
          <w:r>
            <w:rPr>
              <w:rFonts w:ascii="Arial" w:hAnsi="Arial" w:eastAsia="Hiragino Sans GB W3"/>
              <w:b w:val="0"/>
              <w:i w:val="0"/>
              <w:color w:val="6D7B91"/>
              <w:sz w:val="17"/>
            </w:rPr>
            <w:t>电话：15927328070  |  邮箱：gao_rh@foxmail.com</w:t>
          </w:r>
        </w:p>
      </w:tc>
    </w:tr>
  </w:tbl>
  <w:p>
    <w:pPr>
      <w:keepNext w:val="0"/>
      <w:keepLines/>
      <w:widowControl/>
      <w:spacing w:before="20" w:after="0" w:lineRule="auto" w:line="240"/>
      <w:ind w:left="0" w:right="0"/>
      <w:pBdr>
        <w:bottom w:val="single" w:sz="8" w:space="1" w:color="315A9B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40" w:line="269" w:lineRule="auto"/>
    </w:pPr>
    <w:rPr>
      <w:rFonts w:ascii="Arial" w:hAnsi="Arial" w:eastAsia="Hiragino Sans GB W3"/>
      <w:color w:val="182235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Hiragino Sans GB W6"/>
      <w:b/>
      <w:bCs/>
      <w:color w:val="315A9B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Hiragino Sans GB W3"/>
      <w:color w:val="182235"/>
      <w:sz w:val="17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高荣徽 Agent 简历 V1.0</dc:title>
  <dc:subject>Agent 开发工程师简历</dc:subject>
  <dc:creator>高荣徽</dc:creator>
  <cp:keywords/>
  <dc:description>现代藏蓝技术完整版 V1.0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