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814"/>
        <w:gridCol w:w="4221"/>
      </w:tblGrid>
      <w:tr>
        <w:trPr>
          <w:trHeight w:val="720" w:hRule="atLeast"/>
          <w:cantSplit/>
        </w:trPr>
        <w:tc>
          <w:tcPr>
            <w:tcW w:type="dxa" w:w="58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itle"/>
              <w:keepNext w:val="0"/>
              <w:keepLines/>
              <w:widowControl/>
              <w:spacing w:before="0" w:after="0" w:lineRule="auto" w:line="240"/>
              <w:ind w:left="0" w:right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  <w:p>
            <w:pPr>
              <w:spacing w:before="40" w:after="0" w:line="240" w:lineRule="auto"/>
            </w:pPr>
            <w:r>
              <w:rPr>
                <w:rFonts w:ascii="Arial" w:hAnsi="Arial" w:eastAsia="Hiragino Sans GB W3"/>
                <w:b/>
                <w:i w:val="0"/>
                <w:color w:val="315A91"/>
                <w:sz w:val="18"/>
              </w:rPr>
              <w:t>求职方向：Agent 开发工程师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67993"/>
          <w:sz w:val="18"/>
        </w:rPr>
        <w:t>GPA 4.0/5.0；研究方向：时空大数据挖掘与城市计算；发表1篇一区论文（CCF B）。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67993"/>
          <w:sz w:val="18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美团｜Agent 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3"/>
          <w:b w:val="0"/>
          <w:i w:val="0"/>
          <w:color w:val="172235"/>
          <w:sz w:val="19"/>
        </w:rPr>
        <w:t>负责美团金融公共数据开发及业务侧 Agent 开发，主导相关项目的技术方案设计、开发与落地。日常工作中主动应用 AI 提升个人及团队效率，建设公共数据智能机器人，解决常见口径咨询与常规取数问题；同时为团队开发周报自动化、告警、风险处理、Todo 提醒等 AI 小工具，并在大组内多次开展 AI 开发与使用实践分享。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公司项目</w:t>
      </w:r>
    </w:p>
    <w:p>
      <w:pPr>
        <w:tabs>
          <w:tab w:val="center" w:pos="5018"/>
          <w:tab w:val="right" w:pos="10035"/>
        </w:tabs>
        <w:keepNext/>
        <w:keepLines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智能经营分析 Agent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8"/>
        </w:rPr>
        <w:t>技术负责人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8"/>
        </w:rPr>
        <w:t>2025.12-2026.08</w:t>
      </w:r>
    </w:p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3"/>
          <w:b/>
          <w:i w:val="0"/>
          <w:color w:val="172235"/>
          <w:sz w:val="19"/>
        </w:rPr>
        <w:t>项目简介：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面向场景险产运、商分及研发，建设覆盖取数、经营分析、报告生成与主动告警的业务 Agent，将依赖人工响应的个性化需求组织为可执行任务，支持业务复盘、周报日报及会议追问。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3"/>
          <w:b/>
          <w:i w:val="0"/>
          <w:color w:val="172235"/>
          <w:sz w:val="19"/>
        </w:rPr>
        <w:t>业务成效：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周活跃用户30余人，每月节省探数查数、分析报告、业务复盘及周报/日报等工作约23 PD，通常需数小时的分析缩短至1小时以内；Agent 问题回答准确率达到91%，用户调研会话满意度达到88%。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Agent 架构与任务编排：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依托公司既有平台，负责主 Agent、取数 Agent 与分析 Agent 的应用层流程及工具开发；主 Agent 澄清诉求并交接参数与分析主题，专业 Agent 分别执行取数、绘图和报告生成，支持独立取数并行与上下文隔离。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Agent 可靠性与评测：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将自然语言取数收敛为口径澄清、结构化参数、确定性工具执行与结果校验；持续回流线上 Case，在最终200道业务取数题上，对照人工确认的标准答案、由大模型判分，取数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业务分析能力建设：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联合商分及业务团队沉淀目标达成情况、渠道归因和用户留存归因等方法，拆解为下钻、漏斗、趋势和贡献分析等能力，按指标类型封装为 Skill；建设业务知识库，补充业务知识、分析知识和业务动作信息。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上下文与查询复用：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沉淀历史会话中的有效分析经验与业务知识，支持后续任务；完整查询结果落文件并复用耗时较长的查询，减少重复取数及大结果集对上下文的占用。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主动服务与任务交付：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将问答扩展为定时经营监控，自动查询核心指标、预分析异常并生成报告推送业务群；形成4类常驻通知，支持用户基于报告继续追问。</w:t>
      </w:r>
    </w:p>
    <w:p>
      <w:pPr>
        <w:tabs>
          <w:tab w:val="center" w:pos="5018"/>
          <w:tab w:val="right" w:pos="10035"/>
        </w:tabs>
        <w:keepNext/>
        <w:keepLines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理赔客服智能质检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8"/>
        </w:rPr>
        <w:t>技术负责人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8"/>
        </w:rPr>
        <w:t>2026.02-2026.05</w:t>
      </w:r>
    </w:p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3"/>
          <w:b/>
          <w:i w:val="0"/>
          <w:color w:val="172235"/>
          <w:sz w:val="19"/>
        </w:rPr>
        <w:t>项目简介：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面向日均约1万条理赔客服通话，以 Python 实现确定性多阶段质检 Workflow，识别辱骂、争辩、指责等服务态度问题，形成自动筛查、分级复核与人工确认闭环。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3"/>
          <w:b/>
          <w:i w:val="0"/>
          <w:color w:val="172235"/>
          <w:sz w:val="19"/>
        </w:rPr>
        <w:t>业务成效：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覆盖率由约5%提升至100%，释放1名专业质检员人力；周均确认严重违规问题由2-3条增至7-10条。</w:t>
      </w:r>
    </w:p>
    <w:p>
      <w:pPr>
        <w:tabs>
          <w:tab w:val="center" w:pos="5018"/>
          <w:tab w:val="right" w:pos="10035"/>
        </w:tabs>
        <w:keepNext/>
        <w:keepLines/>
        <w:pageBreakBefore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理赔客服智能质检（续）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8"/>
        </w:rPr>
        <w:t>技术负责人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8"/>
        </w:rPr>
        <w:t>2026.02-2026.05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联合业务及质检人员，将“服务态度差”等主观标准细化为可观察、可标注、可分级的规则；建设376条经三人交叉标注的样本集与自动评测流程，评测集召回率达到97%，线上准确率达到85%。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Prompt 自动迭代与评测闭环：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围绕辱骂、争辩、指责等场景设计提示词，由 AI 根据线上真实 Case 与人工复核结果自动调整 Prompt，并自动评测迭代效果，将人工复核反馈用于持续优化。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质检 Workflow 与生产交付：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串联关键词预筛、内部模型初审、脱敏、外部模型复核分级及人工确认；实现日均万级通话批处理、完整性校验、失败重试和日报通知，模型分级结果交由专业质检人员最终确认。</w:t>
      </w:r>
    </w:p>
    <w:p>
      <w:pPr>
        <w:tabs>
          <w:tab w:val="center" w:pos="5018"/>
          <w:tab w:val="right" w:pos="10035"/>
        </w:tabs>
        <w:keepNext/>
        <w:keepLines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公共营销数据建设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8"/>
        </w:rPr>
        <w:t>技术负责人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8"/>
        </w:rPr>
        <w:t>2025.07-2025.12</w:t>
      </w:r>
    </w:p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3"/>
          <w:b/>
          <w:i w:val="0"/>
          <w:color w:val="172235"/>
          <w:sz w:val="19"/>
        </w:rPr>
        <w:t>项目简介：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建设公共营销数仓，支撑活动运营、效果分析与漏损排查。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数据链路与质量：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新建奖励下发视图、补齐主动触达链路，异常数据活动占比由约90%降至0%。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治理与降本：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通过数据下线、资源迁移及任务治理，日均节省1200 CU、释放约1.5 PB存储，年化收益约35万元。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个人项目</w:t>
      </w:r>
    </w:p>
    <w:p>
      <w:pPr>
        <w:tabs>
          <w:tab w:val="center" w:pos="5018"/>
          <w:tab w:val="right" w:pos="10035"/>
        </w:tabs>
        <w:keepNext/>
        <w:keepLines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灰记 GeryRecord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8"/>
        </w:rPr>
        <w:t>个人项目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8"/>
        </w:rPr>
        <w:t>2026.03-2026.08</w:t>
      </w:r>
    </w:p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3"/>
          <w:b/>
          <w:i w:val="0"/>
          <w:color w:val="172235"/>
          <w:sz w:val="19"/>
        </w:rPr>
        <w:t>项目简介：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独立负责个人健康与生活管理 Agent 产品 MVP 的设计与 AI 协同开发，覆盖 iPhone、Apple Watch 与 Mac，以日常记录为事实底座，提供分析、资料调研、连续追问与计划草案功能。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跨端全栈开发：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实现 iPhone、Apple Watch、本地数据层、Mac 常驻服务与 Agent 交互界面；以 iPhone 为本地事实主库，Mac 或模型离线时仍可独立记录，分析建议与事实记录分开存储。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多任务 Agent 编排与可靠执行：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基于 LangGraph，将今日分析、七日分析、追问、调研和次日计划统一为持久任务；按任务范围组织上下文与证据白名单，通过 SQLite、checkpoint、失败重试和结果校验管理执行与恢复。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结构化交付与人机协作：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将分析报告和计划产物映射为原生页面，实现基于父报告的连续追问；分析结果只提供建议，计划草案经用户确认后采纳，保留从 AI 建议到用户执行的决策边界。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Agent 开发：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多 Agent 与 Workflow 编排，LangGraph，Tool/Skill 设计，业务系统接入与任务交付。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执行与恢复：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范围化上下文、持久任务、checkpoint、失败重试、结构化输出及结果校验。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评测与迭代：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评测集与自动化回归、Bad Case 分析、Prompt 自动迭代、人工反馈闭环。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工程开发：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Python、Java、SQL，具备数据处理、任务调度、跨端应用及问题排查经验。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AI 实践：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累计使用超100亿 Token，将 AI 应用于需求开发、咨询机器人、重复配置及办公流程自动化。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72235"/>
          <w:sz w:val="17"/>
        </w:rPr>
        <w:t xml:space="preserve">Yao Y.（导师）, </w:t>
      </w:r>
      <w:r>
        <w:rPr>
          <w:rFonts w:ascii="Arial" w:hAnsi="Arial" w:eastAsia="Hiragino Sans GB W3"/>
          <w:b/>
          <w:i w:val="0"/>
          <w:color w:val="172235"/>
          <w:sz w:val="17"/>
        </w:rPr>
        <w:t>Gao R.</w:t>
      </w:r>
      <w:r>
        <w:rPr>
          <w:rFonts w:ascii="Arial" w:hAnsi="Arial" w:eastAsia="Hiragino Sans GB W3"/>
          <w:b w:val="0"/>
          <w:i w:val="0"/>
          <w:color w:val="172235"/>
          <w:sz w:val="17"/>
        </w:rPr>
        <w:t xml:space="preserve">, Wu H., Dong A., et al. </w:t>
      </w:r>
      <w:r>
        <w:rPr>
          <w:rFonts w:ascii="Arial" w:hAnsi="Arial" w:eastAsia="Hiragino Sans GB W3"/>
          <w:b w:val="0"/>
          <w:i/>
          <w:color w:val="172235"/>
          <w:sz w:val="17"/>
        </w:rPr>
        <w:t>Explainable Mapping of the Irregular Land Use Parcel With a Data Fusion Deep-Learning Model</w:t>
      </w:r>
      <w:r>
        <w:rPr>
          <w:rFonts w:ascii="Arial" w:hAnsi="Arial" w:eastAsia="Hiragino Sans GB W3"/>
          <w:b w:val="0"/>
          <w:i w:val="0"/>
          <w:color w:val="172235"/>
          <w:sz w:val="17"/>
        </w:rPr>
        <w:t>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72235"/>
          <w:sz w:val="17"/>
        </w:rPr>
        <w:t xml:space="preserve">Wu H., Jiang Z., Dong A., </w:t>
      </w:r>
      <w:r>
        <w:rPr>
          <w:rFonts w:ascii="Arial" w:hAnsi="Arial" w:eastAsia="Hiragino Sans GB W3"/>
          <w:b/>
          <w:i w:val="0"/>
          <w:color w:val="172235"/>
          <w:sz w:val="17"/>
        </w:rPr>
        <w:t>Gao R.</w:t>
      </w:r>
      <w:r>
        <w:rPr>
          <w:rFonts w:ascii="Arial" w:hAnsi="Arial" w:eastAsia="Hiragino Sans GB W3"/>
          <w:b w:val="0"/>
          <w:i w:val="0"/>
          <w:color w:val="172235"/>
          <w:sz w:val="17"/>
        </w:rPr>
        <w:t xml:space="preserve">, et al. </w:t>
      </w:r>
      <w:r>
        <w:rPr>
          <w:rFonts w:ascii="Arial" w:hAnsi="Arial" w:eastAsia="Hiragino Sans GB W3"/>
          <w:b w:val="0"/>
          <w:i/>
          <w:color w:val="172235"/>
          <w:sz w:val="17"/>
        </w:rPr>
        <w:t>DCAI-CLUD: A Data-Centric Framework for the Construction of Land-Use Datasets</w:t>
      </w:r>
      <w:r>
        <w:rPr>
          <w:rFonts w:ascii="Arial" w:hAnsi="Arial" w:eastAsia="Hiragino Sans GB W3"/>
          <w:b w:val="0"/>
          <w:i w:val="0"/>
          <w:color w:val="172235"/>
          <w:sz w:val="17"/>
        </w:rPr>
        <w:t>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Agent 简历 V1.1</dc:title>
  <dc:subject>Agent 开发工程师</dc:subject>
  <dc:creator>高荣徽</dc:creator>
  <cp:keywords/>
  <dc:description>现代藏蓝技术完整版 V1.0</dc:description>
  <cp:lastModifiedBy>高荣徽</cp:lastModifiedBy>
  <cp:revision>1</cp:revision>
  <dcterms:created xsi:type="dcterms:W3CDTF">2013-12-23T23:15:00Z</dcterms:created>
  <dcterms:modified xsi:type="dcterms:W3CDTF">2013-12-23T23:15:00Z</dcterms:modified>
  <cp:category/>
</cp:coreProperties>
</file>