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widowControl/>
        <w:spacing w:before="0" w:after="100" w:lineRule="exact" w:line="100"/>
        <w:ind w:left="0" w:right="0"/>
        <w:shd w:val="clear" w:color="auto" w:fill="2F5597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21"/>
        <w:gridCol w:w="3814"/>
      </w:tblGrid>
      <w:tr>
        <w:trPr>
          <w:cantSplit/>
        </w:trPr>
        <w:tc>
          <w:tcPr>
            <w:tcW w:type="dxa" w:w="6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54"/>
              </w:rPr>
              <w:t>高荣徽</w:t>
            </w:r>
          </w:p>
        </w:tc>
        <w:tc>
          <w:tcPr>
            <w:tcW w:type="dxa" w:w="3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 w:val="0"/>
                <w:i w:val="0"/>
                <w:color w:val="68758A"/>
                <w:sz w:val="18"/>
              </w:rPr>
              <w:t>电话：15927328070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 w:val="0"/>
                <w:i w:val="0"/>
                <w:color w:val="68758A"/>
                <w:sz w:val="18"/>
              </w:rPr>
              <w:t>邮箱：gao_rh@foxmail.com</w:t>
            </w:r>
          </w:p>
        </w:tc>
      </w:tr>
    </w:tbl>
    <w:p>
      <w:pPr>
        <w:keepNext w:val="0"/>
        <w:keepLines/>
        <w:widowControl/>
        <w:spacing w:before="40" w:after="100" w:lineRule="auto" w:line="240"/>
        <w:ind w:left="0" w:right="0"/>
        <w:pBdr>
          <w:bottom w:val="single" w:sz="10" w:space="1" w:color="2F5597"/>
        </w:pBdr>
      </w:pPr>
    </w:p>
    <w:p>
      <w:pPr>
        <w:pStyle w:val="Heading1"/>
        <w:keepNext/>
        <w:keepLines/>
        <w:widowControl/>
        <w:spacing w:before="0" w:after="80" w:lineRule="auto" w:line="240"/>
        <w:ind w:left="160" w:right="0"/>
        <w:pBdr>
          <w:bottom w:val="single" w:sz="3" w:space="2" w:color="D9E2F1"/>
          <w:left w:val="single" w:sz="16" w:space="5" w:color="2F5597"/>
        </w:pBdr>
      </w:pPr>
      <w:r>
        <w:rPr>
          <w:rFonts w:ascii="Arial Unicode MS" w:hAnsi="Arial Unicode MS" w:eastAsia="Arial Unicode MS"/>
          <w:b/>
          <w:i w:val="0"/>
          <w:color w:val="2F5597"/>
          <w:sz w:val="26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 w:val="0"/>
                <w:i w:val="0"/>
                <w:color w:val="68758A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 Unicode MS" w:hAnsi="Arial Unicode MS" w:eastAsia="Arial Unicode MS"/>
          <w:b w:val="0"/>
          <w:i w:val="0"/>
          <w:color w:val="68758A"/>
          <w:sz w:val="17"/>
        </w:rPr>
        <w:t>GPA 4.0/5.0；研究方向：时空大数据挖掘与城市计算。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 w:val="0"/>
                <w:i w:val="0"/>
                <w:color w:val="68758A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 Unicode MS" w:hAnsi="Arial Unicode MS" w:eastAsia="Arial Unicode MS"/>
          <w:b w:val="0"/>
          <w:i w:val="0"/>
          <w:color w:val="68758A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40" w:after="80" w:lineRule="auto" w:line="240"/>
        <w:ind w:left="160" w:right="0"/>
        <w:pBdr>
          <w:bottom w:val="single" w:sz="3" w:space="2" w:color="D9E2F1"/>
          <w:left w:val="single" w:sz="16" w:space="5" w:color="2F5597"/>
        </w:pBdr>
      </w:pPr>
      <w:r>
        <w:rPr>
          <w:rFonts w:ascii="Arial Unicode MS" w:hAnsi="Arial Unicode MS" w:eastAsia="Arial Unicode MS"/>
          <w:b/>
          <w:i w:val="0"/>
          <w:color w:val="2F5597"/>
          <w:sz w:val="26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 w:val="0"/>
                <w:i w:val="0"/>
                <w:color w:val="68758A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59"/>
        <w:ind w:left="0" w:right="0"/>
      </w:pPr>
      <w:r>
        <w:rPr>
          <w:rFonts w:ascii="Arial Unicode MS" w:hAnsi="Arial Unicode MS" w:eastAsia="Arial Unicode MS"/>
          <w:b/>
          <w:i w:val="0"/>
          <w:color w:val="172033"/>
          <w:sz w:val="18"/>
        </w:rPr>
      </w:r>
      <w:r>
        <w:rPr>
          <w:rFonts w:ascii="Arial Unicode MS" w:hAnsi="Arial Unicode MS" w:eastAsia="Arial Unicode MS"/>
          <w:b w:val="0"/>
          <w:i w:val="0"/>
          <w:color w:val="172033"/>
          <w:sz w:val="18"/>
        </w:rPr>
        <w:t>负责美团金融公共数据开发及保险业务数据侧 Agent 开发，主导多个相关项目的技术方案设计、开发与落地，其中两个 AI 项目已投入业务使用并取得实际成效。日常主动应用 AI 提升个人及团队效率，建设公共数据咨询机器人，解决日常口径咨询与知识维护问题；搭建周报自动化、告警、风险通知、Todo 提醒等办公 AI 助手，并在大组内多次开展 AI 开发与使用实践的技术分享。</w:t>
      </w:r>
    </w:p>
    <w:p>
      <w:pPr>
        <w:pStyle w:val="Heading1"/>
        <w:keepNext/>
        <w:keepLines/>
        <w:widowControl/>
        <w:spacing w:before="140" w:after="80" w:lineRule="auto" w:line="240"/>
        <w:ind w:left="160" w:right="0"/>
        <w:pBdr>
          <w:bottom w:val="single" w:sz="3" w:space="2" w:color="D9E2F1"/>
          <w:left w:val="single" w:sz="16" w:space="5" w:color="2F5597"/>
        </w:pBdr>
      </w:pPr>
      <w:r>
        <w:rPr>
          <w:rFonts w:ascii="Arial Unicode MS" w:hAnsi="Arial Unicode MS" w:eastAsia="Arial Unicode MS"/>
          <w:b/>
          <w:i w:val="0"/>
          <w:color w:val="2F5597"/>
          <w:sz w:val="26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21"/>
              </w:rPr>
              <w:t>智能经营分析 Agent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2F5597"/>
                <w:sz w:val="17"/>
              </w:rPr>
              <w:t>Agent 技术负责人</w:t>
            </w:r>
          </w:p>
        </w:tc>
      </w:tr>
    </w:tbl>
    <w:p>
      <w:pPr>
        <w:keepNext w:val="0"/>
        <w:keepLines/>
        <w:widowControl/>
        <w:spacing w:before="0" w:after="32" w:lineRule="auto" w:line="259"/>
        <w:ind w:left="0" w:right="0"/>
      </w:pPr>
      <w:r>
        <w:rPr>
          <w:rFonts w:ascii="Arial Unicode MS" w:hAnsi="Arial Unicode MS" w:eastAsia="Arial Unicode MS"/>
          <w:b/>
          <w:i w:val="0"/>
          <w:color w:val="172033"/>
          <w:sz w:val="18"/>
        </w:rPr>
        <w:t>项目简介：</w:t>
      </w:r>
      <w:r>
        <w:rPr>
          <w:rFonts w:ascii="Arial Unicode MS" w:hAnsi="Arial Unicode MS" w:eastAsia="Arial Unicode MS"/>
          <w:b w:val="0"/>
          <w:i w:val="0"/>
          <w:color w:val="172033"/>
          <w:sz w:val="18"/>
        </w:rPr>
        <w:t>建设面向场景险业务的智能经营分析 Agent，为业务人员提供自助、高效、可信的取数、分析与主动服务能力。项目沿“取准数-能分析-业务助理”三阶段演进，通过受控取数保障准确性，将成熟分析方法沉淀为 Skill，并结合长期记忆与主动服务，形成可持续服务业务经营的智能助理。</w:t>
      </w:r>
    </w:p>
    <w:p>
      <w:pPr>
        <w:keepNext w:val="0"/>
        <w:keepLines/>
        <w:widowControl/>
        <w:spacing w:before="0" w:after="40" w:lineRule="auto" w:line="259"/>
        <w:ind w:left="0" w:right="0"/>
      </w:pPr>
      <w:r>
        <w:rPr>
          <w:rFonts w:ascii="Arial Unicode MS" w:hAnsi="Arial Unicode MS" w:eastAsia="Arial Unicode MS"/>
          <w:b/>
          <w:i w:val="0"/>
          <w:color w:val="172033"/>
          <w:sz w:val="18"/>
        </w:rPr>
        <w:t>业务成效：</w:t>
      </w:r>
      <w:r>
        <w:rPr>
          <w:rFonts w:ascii="Arial Unicode MS" w:hAnsi="Arial Unicode MS" w:eastAsia="Arial Unicode MS"/>
          <w:b w:val="0"/>
          <w:i w:val="0"/>
          <w:color w:val="172033"/>
          <w:sz w:val="18"/>
        </w:rPr>
        <w:t>周活跃用户30余人，每月累计节省探数查数、分析报告以及业务复盘、周报/日报等工作约23 PD；可准确回答业务日会、周会中的常见问题，并完成日常经营中的基础分析，为业务提供自助式经营分析能力，显著提升分析覆盖度与决策响应效率。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Agent 架构与编排：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基于公司内部模型、指标平台及通用工具接口，使用 Python 完成 Agent 应用层代码，构建由主 Agent 动态编排澄清、取数和报告 Agent 的多 Agent 协作体系；自主开发相关 Tool、Skill、缓存、评测脚本和定时任务，形成“澄清-执行-验证”的完整链路。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可信取数与评测：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将自然语言诉求收敛为标准指标及结构化查询参数，通过指标支持边界、交互式澄清、规则校验与按需复查构建可控问数链路；建设约200道业务问题的自动化回归评测集，在指标平台覆盖范围内，指标名称与数值问答准确率接近100%，单轮任务成功率达到83%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记忆管理与知识库构建：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按用户与 Task 组织长期记忆，支持个性化分析、跨会话任务续接和历史经验复用；围绕数据知识、分析方法与业务知识搭建分层知识库，将商分与业务经验转化为可组合的分析 Skill。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知识治理与分析校验：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采用“结构化知识 + 全量原始知识”的分层管理方式，通过总结 Agent 预处理和人工确认沉淀业务事件、业务动作、场景-分析方法映射及指标参考范围；报告生成后校验指标适用性与数值合理性，异常时触发二次查询复核。</w:t>
      </w:r>
    </w:p>
    <w:p>
      <w:pPr>
        <w:pStyle w:val="ListBullet"/>
        <w:keepNext w:val="0"/>
        <w:keepLines/>
        <w:widowControl/>
        <w:spacing w:before="0" w:after="52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查询性能与预计算：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根据数据规模和时效设计分级缓存，对聚合结果进行复用，对长周期明细采用“历史全量 + 每日增量”更新；将典型复杂查询的端到端耗时由30-60分钟降至缓存命中后的数分钟，并将约1小时的异常分析转为后台预计算，使业务查看时可直接获取结果。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21"/>
              </w:rPr>
              <w:t>理赔客服智能质检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2F5597"/>
                <w:sz w:val="17"/>
              </w:rPr>
              <w:t>技术负责人</w:t>
            </w:r>
          </w:p>
        </w:tc>
      </w:tr>
    </w:tbl>
    <w:p>
      <w:pPr>
        <w:keepNext w:val="0"/>
        <w:keepLines/>
        <w:widowControl/>
        <w:spacing w:before="0" w:after="32" w:lineRule="auto" w:line="259"/>
        <w:ind w:left="0" w:right="0"/>
      </w:pPr>
      <w:r>
        <w:rPr>
          <w:rFonts w:ascii="Arial Unicode MS" w:hAnsi="Arial Unicode MS" w:eastAsia="Arial Unicode MS"/>
          <w:b/>
          <w:i w:val="0"/>
          <w:color w:val="172033"/>
          <w:sz w:val="18"/>
        </w:rPr>
        <w:t>项目简介：</w:t>
      </w:r>
      <w:r>
        <w:rPr>
          <w:rFonts w:ascii="Arial Unicode MS" w:hAnsi="Arial Unicode MS" w:eastAsia="Arial Unicode MS"/>
          <w:b w:val="0"/>
          <w:i w:val="0"/>
          <w:color w:val="172033"/>
          <w:sz w:val="18"/>
        </w:rPr>
        <w:t>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59"/>
        <w:ind w:left="0" w:right="0"/>
      </w:pPr>
      <w:r>
        <w:rPr>
          <w:rFonts w:ascii="Arial Unicode MS" w:hAnsi="Arial Unicode MS" w:eastAsia="Arial Unicode MS"/>
          <w:b/>
          <w:i w:val="0"/>
          <w:color w:val="172033"/>
          <w:sz w:val="18"/>
        </w:rPr>
        <w:t>业务成效：</w:t>
      </w:r>
      <w:r>
        <w:rPr>
          <w:rFonts w:ascii="Arial Unicode MS" w:hAnsi="Arial Unicode MS" w:eastAsia="Arial Unicode MS"/>
          <w:b w:val="0"/>
          <w:i w:val="0"/>
          <w:color w:val="172033"/>
          <w:sz w:val="18"/>
        </w:rPr>
        <w:t>质检覆盖率由约5%提升至100%，释放1名专业质检员人力，周均确认严重违规问题由2-3条提升至7-10条。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21"/>
              </w:rPr>
              <w:t>理赔客服智能质检（续）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2F5597"/>
                <w:sz w:val="17"/>
              </w:rPr>
              <w:t>技术负责人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质检标准与评测体系：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与业务及质检人员共同将“服务态度差”等抽象、主观标准拆解为可观察、可标注、可分级的判断规则；建设430条三人交叉标注数据集，形成376条有效共识样本，并搭建自动化评测流程，使 Skill 与 Prompt 的迭代效果可量化、可比较、可回溯。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Prompt 架构与模型自进化：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针对不同质检维度相互干扰的问题，将通用判断逻辑与辱骂、争辩、指责等维度规则分层组织，支持各维度独立调优；构建线上真实 Case 驱动的自进化机制，每日根据新增 Case 及复核结果对 Skill、规则和 Prompt 进行小步调整并自动化验证，减少持续人工调参投入。</w:t>
      </w:r>
    </w:p>
    <w:p>
      <w:pPr>
        <w:pStyle w:val="ListBullet"/>
        <w:keepNext w:val="0"/>
        <w:keepLines/>
        <w:widowControl/>
        <w:spacing w:before="0" w:after="52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分层质检与生产交付：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设计“关键词预筛-角色校验与纠正-内部模型初审-规则及 AI 脱敏-外部模型复核与分级-人工确认”的分层质检链路；依托公司内部 Agent 平台编写质检 Skill、Prompt 及任务配置，通过定时任务实现批量处理、分页完整性校验、重试机制、质检日报生成与自动通知。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21"/>
              </w:rPr>
              <w:t>营销数据建设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2F5597"/>
                <w:sz w:val="17"/>
              </w:rPr>
              <w:t>核心开发</w:t>
            </w:r>
          </w:p>
        </w:tc>
      </w:tr>
    </w:tbl>
    <w:p>
      <w:pPr>
        <w:keepNext w:val="0"/>
        <w:keepLines/>
        <w:widowControl/>
        <w:spacing w:before="0" w:after="32" w:lineRule="auto" w:line="259"/>
        <w:ind w:left="0" w:right="0"/>
      </w:pPr>
      <w:r>
        <w:rPr>
          <w:rFonts w:ascii="Arial Unicode MS" w:hAnsi="Arial Unicode MS" w:eastAsia="Arial Unicode MS"/>
          <w:b/>
          <w:i w:val="0"/>
          <w:color w:val="172033"/>
          <w:sz w:val="18"/>
        </w:rPr>
        <w:t>项目简介：</w:t>
      </w:r>
      <w:r>
        <w:rPr>
          <w:rFonts w:ascii="Arial Unicode MS" w:hAnsi="Arial Unicode MS" w:eastAsia="Arial Unicode MS"/>
          <w:b w:val="0"/>
          <w:i w:val="0"/>
          <w:color w:val="172033"/>
          <w:sz w:val="18"/>
        </w:rPr>
        <w:t>围绕营销触达漏损数据缺失、奖励链路缺失及资源消耗高等问题，建设并治理跨多个业务系统、6个业务过程和多类节点的数据链路，提升数据完整性、稳定性与资源效率。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数据链路建设：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梳理营销触达全链路逻辑，补齐主动触达漏损场景并新建奖励下发漏损数据链路，推动存在漏损数据缺失的活动占比由93%降至0%。</w:t>
      </w:r>
    </w:p>
    <w:p>
      <w:pPr>
        <w:pStyle w:val="ListBullet"/>
        <w:keepNext w:val="0"/>
        <w:keepLines/>
        <w:widowControl/>
        <w:spacing w:before="0" w:after="52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数仓治理与降本：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持续推进无用数据下线、计算资源迁移、全量任务增量化及大任务治理，识别并清理占链路数据量87%的“空跑活动”，累计节省资源成本约50万元，并提升数据就绪时效。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21"/>
              </w:rPr>
              <w:t>灰记 GeryRecord｜本地优先的生活记录与轻规划 Agent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2F5597"/>
                <w:sz w:val="17"/>
              </w:rPr>
              <w:t>个人独立完成 · MVP已完成</w:t>
            </w:r>
          </w:p>
        </w:tc>
      </w:tr>
    </w:tbl>
    <w:p>
      <w:pPr>
        <w:keepNext w:val="0"/>
        <w:keepLines/>
        <w:widowControl/>
        <w:spacing w:before="0" w:after="32" w:lineRule="auto" w:line="259"/>
        <w:ind w:left="0" w:right="0"/>
      </w:pPr>
      <w:r>
        <w:rPr>
          <w:rFonts w:ascii="Arial Unicode MS" w:hAnsi="Arial Unicode MS" w:eastAsia="Arial Unicode MS"/>
          <w:b/>
          <w:i w:val="0"/>
          <w:color w:val="172033"/>
          <w:sz w:val="18"/>
        </w:rPr>
        <w:t>项目简介：</w:t>
      </w:r>
      <w:r>
        <w:rPr>
          <w:rFonts w:ascii="Arial Unicode MS" w:hAnsi="Arial Unicode MS" w:eastAsia="Arial Unicode MS"/>
          <w:b w:val="0"/>
          <w:i w:val="0"/>
          <w:color w:val="172033"/>
          <w:sz w:val="18"/>
        </w:rPr>
        <w:t>独立完成面向个人健康、生活记录与计划管理的跨端产品，打通 iPhone、Apple Watch 与 Mac，构建能够实际使用的本地优先复杂 Agent。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端到端全栈开发：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完成移动端、Watch 端、本地数据层、Mac 服务及 Agent 交互界面的全栈实现，打通数据采集、本地存储、任务调度、Agent 运行、结果展示与计划采纳的完整产品链路。</w:t>
      </w:r>
    </w:p>
    <w:p>
      <w:pPr>
        <w:pStyle w:val="ListBullet"/>
        <w:keepNext w:val="0"/>
        <w:keepLines/>
        <w:widowControl/>
        <w:spacing w:before="0" w:after="52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复杂 Agent 系统：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基于 LangGraph 与 Codex CLI 实现今日分析、七日分析、连续追问、资料调研和次日计划等任务，支持持久化任务、上下文管理、证据约束、工具调用与结构化产物，并通过人工确认、重试和离线保底保障结果可靠落地。</w:t>
      </w:r>
    </w:p>
    <w:p>
      <w:pPr>
        <w:pStyle w:val="Heading1"/>
        <w:keepNext/>
        <w:keepLines/>
        <w:widowControl/>
        <w:spacing w:before="140" w:after="80" w:lineRule="auto" w:line="240"/>
        <w:ind w:left="160" w:right="0"/>
        <w:pBdr>
          <w:bottom w:val="single" w:sz="3" w:space="2" w:color="D9E2F1"/>
          <w:left w:val="single" w:sz="16" w:space="5" w:color="2F5597"/>
        </w:pBdr>
      </w:pPr>
      <w:r>
        <w:rPr>
          <w:rFonts w:ascii="Arial Unicode MS" w:hAnsi="Arial Unicode MS" w:eastAsia="Arial Unicode MS"/>
          <w:b/>
          <w:i w:val="0"/>
          <w:color w:val="2F5597"/>
          <w:sz w:val="26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Agent 工程：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多 Agent 协作与动态编排，Tool/Skill/Workflow 设计，Prompt 与 Few-shot，结构化输出，模型路由，定时主动执行，human-in-the-loop。</w:t>
      </w:r>
    </w:p>
    <w:p>
      <w:pPr>
        <w:pStyle w:val="ListBullet"/>
        <w:keepNext w:val="0"/>
        <w:keepLines/>
        <w:widowControl/>
        <w:spacing w:before="0" w:after="3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可靠性与评测：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能力边界与澄清，规则校验与按需复查，自动化回归评测，小样本冷启动，badcase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知识与数据：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记忆管理，关键词与语义检索，分层知识库，分析方法工具化，指标平台，SQL，数据仓库，缓存与预计算。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59"/>
        <w:ind w:left="259" w:right="0" w:hanging="173"/>
      </w:pPr>
      <w:r>
        <w:rPr>
          <w:rFonts w:ascii="Arial Unicode MS" w:hAnsi="Arial Unicode MS" w:eastAsia="Arial Unicode MS"/>
          <w:b/>
          <w:i w:val="0"/>
          <w:color w:val="172033"/>
          <w:sz w:val="17"/>
        </w:rPr>
        <w:t>工程基础：</w:t>
      </w:r>
      <w:r>
        <w:rPr>
          <w:rFonts w:ascii="Arial Unicode MS" w:hAnsi="Arial Unicode MS" w:eastAsia="Arial Unicode MS"/>
          <w:b w:val="0"/>
          <w:i w:val="0"/>
          <w:color w:val="172033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40" w:after="80" w:lineRule="auto" w:line="240"/>
        <w:ind w:left="160" w:right="0"/>
        <w:pBdr>
          <w:bottom w:val="single" w:sz="3" w:space="2" w:color="D9E2F1"/>
          <w:left w:val="single" w:sz="16" w:space="5" w:color="2F5597"/>
        </w:pBdr>
      </w:pPr>
      <w:r>
        <w:rPr>
          <w:rFonts w:ascii="Arial Unicode MS" w:hAnsi="Arial Unicode MS" w:eastAsia="Arial Unicode MS"/>
          <w:b/>
          <w:i w:val="0"/>
          <w:color w:val="2F5597"/>
          <w:sz w:val="26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 Unicode MS" w:hAnsi="Arial Unicode MS" w:eastAsia="Arial Unicode MS"/>
          <w:b w:val="0"/>
          <w:i w:val="0"/>
          <w:color w:val="172033"/>
          <w:sz w:val="16"/>
        </w:rPr>
        <w:t xml:space="preserve">Yao Y.（导师）, </w:t>
      </w:r>
      <w:r>
        <w:rPr>
          <w:rFonts w:ascii="Arial Unicode MS" w:hAnsi="Arial Unicode MS" w:eastAsia="Arial Unicode MS"/>
          <w:b/>
          <w:i w:val="0"/>
          <w:color w:val="172033"/>
          <w:sz w:val="16"/>
        </w:rPr>
        <w:t>Gao R.</w:t>
      </w:r>
      <w:r>
        <w:rPr>
          <w:rFonts w:ascii="Arial Unicode MS" w:hAnsi="Arial Unicode MS" w:eastAsia="Arial Unicode MS"/>
          <w:b w:val="0"/>
          <w:i w:val="0"/>
          <w:color w:val="172033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 Unicode MS" w:hAnsi="Arial Unicode MS" w:eastAsia="Arial Unicode MS"/>
          <w:b w:val="0"/>
          <w:i w:val="0"/>
          <w:color w:val="172033"/>
          <w:sz w:val="16"/>
        </w:rPr>
        <w:t xml:space="preserve">Wu H., Jiang Z., Dong A., </w:t>
      </w:r>
      <w:r>
        <w:rPr>
          <w:rFonts w:ascii="Arial Unicode MS" w:hAnsi="Arial Unicode MS" w:eastAsia="Arial Unicode MS"/>
          <w:b/>
          <w:i w:val="0"/>
          <w:color w:val="172033"/>
          <w:sz w:val="16"/>
        </w:rPr>
        <w:t>Gao R.</w:t>
      </w:r>
      <w:r>
        <w:rPr>
          <w:rFonts w:ascii="Arial Unicode MS" w:hAnsi="Arial Unicode MS" w:eastAsia="Arial Unicode MS"/>
          <w:b w:val="0"/>
          <w:i w:val="0"/>
          <w:color w:val="172033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595" w:right="935" w:bottom="652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 Unicode MS" w:hAnsi="Arial Unicode MS" w:eastAsia="Arial Unicode MS"/>
              <w:b w:val="0"/>
              <w:i w:val="0"/>
              <w:color w:val="68758A"/>
              <w:sz w:val="15"/>
            </w:rPr>
            <w:t>高荣徽 · Data Agent 简历 · v0.7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 Unicode MS" w:hAnsi="Arial Unicode MS" w:eastAsia="Arial Unicode MS"/>
              <w:b w:val="0"/>
              <w:i w:val="0"/>
              <w:color w:val="68758A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 Unicode MS" w:hAnsi="Arial Unicode MS" w:eastAsia="Arial Unicode MS"/>
              <w:b w:val="0"/>
              <w:i w:val="0"/>
              <w:color w:val="68758A"/>
              <w:sz w:val="15"/>
            </w:rPr>
            <w:t>高荣徽 · Data Agent 简历 · v0.7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 Unicode MS" w:hAnsi="Arial Unicode MS" w:eastAsia="Arial Unicode MS"/>
              <w:b w:val="0"/>
              <w:i w:val="0"/>
              <w:color w:val="68758A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 Unicode MS" w:hAnsi="Arial Unicode MS" w:eastAsia="Arial Unicode MS"/>
              <w:b/>
              <w:i w:val="0"/>
              <w:color w:val="172033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 Unicode MS" w:hAnsi="Arial Unicode MS" w:eastAsia="Arial Unicode MS"/>
              <w:b w:val="0"/>
              <w:i w:val="0"/>
              <w:color w:val="68758A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2F559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Arial Unicode MS" w:hAnsi="Arial Unicode MS" w:eastAsia="Arial Unicode M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559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172033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v0.7</dc:title>
  <dc:subject>Agent开发工程师简历</dc:subject>
  <dc:creator>高荣徽</dc:creator>
  <cp:keywords/>
  <dc:description>现代藏蓝技术完整版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