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605"/>
        <w:gridCol w:w="8430"/>
      </w:tblGrid>
      <w:tr>
        <w:trPr>
          <w:trHeight w:val="82" w:hRule="exact"/>
        </w:trPr>
        <w:tc>
          <w:tcPr>
            <w:tcW w:type="dxa" w:w="1605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315A9B"/>
          </w:tcPr>
          <w:p>
            <w:pPr>
              <w:keepNext w:val="0"/>
              <w:keepLines/>
              <w:widowControl/>
              <w:spacing w:before="0" w:after="0" w:lineRule="auto" w:line="144"/>
              <w:ind w:left="0" w:right="0"/>
            </w:pPr>
          </w:p>
        </w:tc>
        <w:tc>
          <w:tcPr>
            <w:tcW w:type="dxa" w:w="8430"/>
            <w:tcMar>
              <w:top w:w="0" w:type="dxa"/>
              <w:start w:w="0" w:type="dxa"/>
              <w:bottom w:w="0" w:type="dxa"/>
              <w:end w:w="0" w:type="dxa"/>
            </w:tcMar>
            <w:shd w:val="clear" w:color="auto" w:fill="EDF2FA"/>
          </w:tcPr>
          <w:p>
            <w:pPr>
              <w:keepNext w:val="0"/>
              <w:keepLines/>
              <w:widowControl/>
              <w:spacing w:before="0" w:after="0" w:lineRule="auto" w:line="144"/>
              <w:ind w:left="0" w:right="0"/>
            </w:pPr>
          </w:p>
        </w:tc>
      </w:tr>
    </w:tbl>
    <w:p>
      <w:pPr>
        <w:keepNext w:val="0"/>
        <w:keepLines/>
        <w:widowControl/>
        <w:spacing w:before="0" w:after="0" w:lineRule="exact" w:line="140"/>
        <w:ind w:left="0" w:right="0"/>
      </w:pP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5"/>
        <w:gridCol w:w="5719"/>
        <w:gridCol w:w="4221"/>
      </w:tblGrid>
      <w:tr>
        <w:trPr>
          <w:trHeight w:val="720" w:hRule="exact"/>
          <w:cantSplit/>
        </w:trPr>
        <w:tc>
          <w:tcPr>
            <w:tcW w:type="dxa" w:w="9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  <w:shd w:val="clear" w:color="auto" w:fill="315A9B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</w:p>
        </w:tc>
        <w:tc>
          <w:tcPr>
            <w:tcW w:type="dxa" w:w="5719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51"/>
              </w:rPr>
              <w:t>高荣徽</w:t>
            </w:r>
          </w:p>
        </w:tc>
        <w:tc>
          <w:tcPr>
            <w:tcW w:type="dxa" w:w="4221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2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电话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15927328070</w:t>
            </w:r>
          </w:p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 xml:space="preserve">邮箱  </w:t>
            </w:r>
            <w:r>
              <w:rPr>
                <w:rFonts w:ascii="Arial" w:hAnsi="Arial" w:eastAsia="Hiragino Sans GB W3"/>
                <w:b w:val="0"/>
                <w:i w:val="0"/>
                <w:color w:val="6D7B91"/>
                <w:sz w:val="18"/>
              </w:rPr>
              <w:t>gao_rh@foxmail.com</w:t>
            </w:r>
          </w:p>
        </w:tc>
      </w:tr>
    </w:tbl>
    <w:p>
      <w:pPr>
        <w:keepNext w:val="0"/>
        <w:keepLines/>
        <w:widowControl/>
        <w:spacing w:before="20" w:after="80" w:lineRule="auto" w:line="240"/>
        <w:ind w:left="0" w:right="0"/>
        <w:pBdr>
          <w:bottom w:val="single" w:sz="8" w:space="1" w:color="315A9B"/>
        </w:pBdr>
      </w:pPr>
    </w:p>
    <w:p>
      <w:pPr>
        <w:pStyle w:val="Heading1"/>
        <w:keepNext/>
        <w:keepLines/>
        <w:widowControl/>
        <w:spacing w:before="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教育背景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中国地质大学（武汉）｜地图制图学与地理信息工程｜硕士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2022.09-2025.06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4.0/5.0；研究方向：时空大数据挖掘与城市计算。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128"/>
        <w:gridCol w:w="1907"/>
      </w:tblGrid>
      <w:tr>
        <w:tc>
          <w:tcPr>
            <w:tcW w:type="dxa" w:w="812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19"/>
              </w:rPr>
              <w:t>中国地质大学（武汉）｜资源勘查工程（基地班）｜本科</w:t>
            </w:r>
          </w:p>
        </w:tc>
        <w:tc>
          <w:tcPr>
            <w:tcW w:type="dxa" w:w="1907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2018.09-2022.06</w:t>
            </w:r>
          </w:p>
        </w:tc>
      </w:tr>
    </w:tbl>
    <w:p>
      <w:pPr>
        <w:keepNext w:val="0"/>
        <w:keepLines/>
        <w:widowControl/>
        <w:spacing w:before="0" w:after="50" w:lineRule="auto" w:line="252"/>
        <w:ind w:left="0" w:right="0"/>
      </w:pPr>
      <w:r>
        <w:rPr>
          <w:rFonts w:ascii="Arial" w:hAnsi="Arial" w:eastAsia="Hiragino Sans GB W3"/>
          <w:b w:val="0"/>
          <w:i w:val="0"/>
          <w:color w:val="6D7B91"/>
          <w:sz w:val="17"/>
        </w:rPr>
        <w:t>GPA 前15%，获得保研资格；全国大学生数学竞赛国家二等奖；大学英语四/六级 527/500。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工作经历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626"/>
        <w:gridCol w:w="2409"/>
      </w:tblGrid>
      <w:tr>
        <w:tc>
          <w:tcPr>
            <w:tcW w:type="dxa" w:w="7626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</w:pPr>
            <w:r>
              <w:rPr>
                <w:rFonts w:ascii="Arial" w:hAnsi="Arial" w:eastAsia="Hiragino Sans GB W6"/>
                <w:b/>
                <w:i w:val="0"/>
                <w:color w:val="182235"/>
                <w:sz w:val="20"/>
              </w:rPr>
              <w:t>美团｜数据开发工程师</w:t>
            </w:r>
          </w:p>
        </w:tc>
        <w:tc>
          <w:tcPr>
            <w:tcW w:type="dxa" w:w="2409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keepNext w:val="0"/>
              <w:keepLines/>
              <w:widowControl/>
              <w:spacing w:before="0" w:after="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2025.07-2026.08</w:t>
            </w:r>
          </w:p>
        </w:tc>
      </w:tr>
    </w:tbl>
    <w:p>
      <w:pPr>
        <w:keepNext w:val="0"/>
        <w:keepLines/>
        <w:widowControl/>
        <w:spacing w:before="0" w:after="5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负责美团金融公共数据开发及保险业务数据侧 Agent 开发，主导多个相关项目的技术方案设计、开发与落地，其中智能经营分析与理赔客服智能质检均取得一定业务成效。日常主动应用 AI 提升个人及团队效率，建设公共数据咨询机器人，解决日常口径咨询与知识维护问题；搭建周报自动化、告警、风险通知、Todo 提醒等办公 AI 助手，并在大组内多次开展 AI 开发与使用实践的技术分享。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项目经历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422"/>
        <w:gridCol w:w="1505"/>
        <w:gridCol w:w="2108"/>
      </w:tblGrid>
      <w:tr>
        <w:tc>
          <w:tcPr>
            <w:tcW w:type="dxa" w:w="642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智能经营分析 Agent</w:t>
            </w:r>
          </w:p>
        </w:tc>
        <w:tc>
          <w:tcPr>
            <w:tcW w:type="dxa" w:w="150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210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2025.12-2026.08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面向场景险业务建设智能经营分析 Agent，为业务提供准确取数与专业分析能力，覆盖日常取数、业务复盘、周报日报、会议追问及流量监控告警等经营场景。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周活跃用户30余人，每月累计节省探数查数、分析报告、业务复盘及周报/日报等工作约23 PD；能够准确回答日会、周会中的常见经营问题，并完成日常经营中的基础分析，为业务提供自助式经营分析能力，显著提升分析覆盖度与决策响应效率。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架构设计与开发：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负责 Agent 应用层整体架构设计与开发，搭建由主 Agent、取数 Agent 和分析 Agent 协作的多 Agent 体系。主 Agent 负责理解用户诉求、完成必要澄清、编排任务，并将执行结果整理后返回用户；取数 Agent 统一承接各类取数诉求；分析 Agent 负责完成数据分析、绘图制表及分析报告生成。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准确取数能力建设：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场景险经营分析对取数准确性要求极高。针对自然语言中的指标、维度和时间表达容易混淆、模型理解存在波动的问题，将指标支持范围、时间解析、查询路由、复合指标计算和结果校验等确定性环节代码化，通过指标检索与交互澄清，将用户诉求收敛为结构化查询参数；在200道业务取数问题评测集中，单轮对话任务正确率达到91%，取数 Agent 准确率达到95%。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分析能力建设：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与商分及业务团队共同梳理保费、渗透率、渠道归因和用户留存归因等常用分析思路，将其解构为下钻、漏斗、趋势和贡献分析等可组合能力；建设业务数据知识库，沉淀指标口径、分析方法和业务知识，使分析 Agent 能够围绕具体经营问题组合不同分析能力，覆盖常见经营分析场景。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记忆与查询复用：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建设面向任务的记忆与查询结果复用机制，沉淀历史分析经验，并将查询耗时较长的数据及分析结果持久化保存，供后续任务直接复用，减少重复查询和计算。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主动服务：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围绕重点经营场景配置多项每日定时任务，自动查询核心指标；发现异常后触发告警并预分析原因，生成告警分析报告发送至业务群。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422"/>
        <w:gridCol w:w="1505"/>
        <w:gridCol w:w="2108"/>
      </w:tblGrid>
      <w:tr>
        <w:tc>
          <w:tcPr>
            <w:tcW w:type="dxa" w:w="642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</w:t>
            </w:r>
          </w:p>
        </w:tc>
        <w:tc>
          <w:tcPr>
            <w:tcW w:type="dxa" w:w="150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210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面向日均约1万条理赔客服通话，建设针对辱骂、争辩、指责等服务态度问题的智能质检能力，将依赖人工抽检的流程升级为“自动筛查-分级复核-人工确认”闭环。</w:t>
      </w:r>
    </w:p>
    <w:p>
      <w:pPr>
        <w:keepNext w:val="0"/>
        <w:keepLines/>
        <w:widowControl/>
        <w:spacing w:before="0" w:after="40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业务成效：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质检覆盖率由约5%提升至100%，释放1名专业质检员人力，周均确认严重违规问题由2-3条提升至7-10条。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质检标准与评测体系：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与业务及质检人员共同将“服务态度差”等抽象、主观标准拆解为可观察、可标注、可分级的判断规则；建设430条三人交叉标注数据集，形成376条有效共识样本，并搭建自动化评测流程，使 Skill 与 Prompt 的迭代效果可量化、可比较、可回溯。</w:t>
      </w:r>
    </w:p>
    <w:p>
      <w:r>
        <w:br w:type="page"/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422"/>
        <w:gridCol w:w="1505"/>
        <w:gridCol w:w="2108"/>
      </w:tblGrid>
      <w:tr>
        <w:tc>
          <w:tcPr>
            <w:tcW w:type="dxa" w:w="642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理赔客服智能质检（续）</w:t>
            </w:r>
          </w:p>
        </w:tc>
        <w:tc>
          <w:tcPr>
            <w:tcW w:type="dxa" w:w="150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210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2026.02-2026.05</w:t>
            </w:r>
          </w:p>
        </w:tc>
      </w:tr>
    </w:tbl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Prompt 架构与模型自进化：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针对不同质检维度相互干扰的问题，将通用判断逻辑与辱骂、争辩、指责等维度规则分层组织，支持各维度独立调优；构建线上真实 Case 驱动的自进化机制，每日根据新增 Case 及复核结果对 Skill、规则和 Prompt 进行小步调整并自动化验证，减少持续人工调参投入。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分层质检与生产交付：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设计“关键词预筛-角色校验与纠正-内部模型初审-规则及 AI 脱敏-外部模型复核与分级-人工确认”的分层质检链路；依托公司内部 Agent 平台编写质检 Skill、Prompt 及任务配置，通过定时任务实现批量处理、分页完整性校验、重试机制、质检日报生成与自动通知。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422"/>
        <w:gridCol w:w="1505"/>
        <w:gridCol w:w="2108"/>
      </w:tblGrid>
      <w:tr>
        <w:tc>
          <w:tcPr>
            <w:tcW w:type="dxa" w:w="642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营销数据建设</w:t>
            </w:r>
          </w:p>
        </w:tc>
        <w:tc>
          <w:tcPr>
            <w:tcW w:type="dxa" w:w="150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210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2025.07-2025.12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围绕营销触达漏损数据缺失、奖励链路缺失及资源消耗高等问题，建设并治理跨多个业务系统、6个业务过程和多类节点的数据链路，提升数据完整性、稳定性与资源效率。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数据链路建设：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梳理营销触达全链路逻辑，补齐主动触达漏损场景并新建奖励下发漏损数据链路，推动存在漏损数据缺失的活动占比由93%降至0%。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数仓治理与降本：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持续推进无用数据下线、计算资源迁移、全量任务增量化及大任务治理，识别并清理占链路数据量87%的“空跑活动”，累计节省资源成本约50万元，并提升数据就绪时效。</w:t>
      </w:r>
    </w:p>
    <w:tbl>
      <w:tblPr>
        <w:tblW w:type="dxa" w:w="10035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422"/>
        <w:gridCol w:w="1505"/>
        <w:gridCol w:w="2108"/>
      </w:tblGrid>
      <w:tr>
        <w:tc>
          <w:tcPr>
            <w:tcW w:type="dxa" w:w="6422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</w:pPr>
            <w:r>
              <w:rPr>
                <w:rFonts w:ascii="Arial" w:hAnsi="Arial" w:eastAsia="Arial"/>
                <w:b/>
                <w:i w:val="0"/>
                <w:color w:val="315A9B"/>
                <w:sz w:val="15"/>
              </w:rPr>
              <w:t xml:space="preserve">■  </w:t>
            </w:r>
            <w:r>
              <w:rPr>
                <w:rFonts w:ascii="Arial" w:hAnsi="Arial" w:eastAsia="Hiragino Sans GB W6"/>
                <w:b/>
                <w:i w:val="0"/>
                <w:color w:val="182235"/>
                <w:sz w:val="21"/>
              </w:rPr>
              <w:t>灰记 GeryRecord｜本地优先的生活记录与轻规划 Agent</w:t>
            </w:r>
          </w:p>
        </w:tc>
        <w:tc>
          <w:tcPr>
            <w:tcW w:type="dxa" w:w="150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center"/>
            </w:pPr>
            <w:r>
              <w:rPr>
                <w:rFonts w:ascii="Arial" w:hAnsi="Arial" w:eastAsia="Hiragino Sans GB W6"/>
                <w:b/>
                <w:i w:val="0"/>
                <w:color w:val="315A9B"/>
                <w:sz w:val="17"/>
              </w:rPr>
              <w:t>技术负责人</w:t>
            </w:r>
          </w:p>
        </w:tc>
        <w:tc>
          <w:tcPr>
            <w:tcW w:type="dxa" w:w="210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keepNext/>
              <w:keepLines/>
              <w:widowControl/>
              <w:spacing w:before="50" w:after="10" w:lineRule="auto" w:line="240"/>
              <w:ind w:left="0" w:right="0"/>
              <w:jc w:val="right"/>
            </w:pPr>
            <w:r>
              <w:rPr>
                <w:rFonts w:ascii="Arial" w:hAnsi="Arial" w:eastAsia="Hiragino Sans GB W3"/>
                <w:b w:val="0"/>
                <w:i w:val="0"/>
                <w:color w:val="6D7B91"/>
                <w:sz w:val="17"/>
              </w:rPr>
              <w:t>2026.03-2026.08</w:t>
            </w:r>
          </w:p>
        </w:tc>
      </w:tr>
    </w:tbl>
    <w:p>
      <w:pPr>
        <w:keepNext w:val="0"/>
        <w:keepLines/>
        <w:widowControl/>
        <w:spacing w:before="0" w:after="32" w:lineRule="auto" w:line="264"/>
        <w:ind w:left="0" w:right="0"/>
      </w:pPr>
      <w:r>
        <w:rPr>
          <w:rFonts w:ascii="Arial" w:hAnsi="Arial" w:eastAsia="Hiragino Sans GB W6"/>
          <w:b/>
          <w:i w:val="0"/>
          <w:color w:val="182235"/>
          <w:sz w:val="17"/>
        </w:rPr>
        <w:t>项目简介：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独立完成面向个人健康、生活记录与计划管理的跨端产品 MVP，打通 iPhone、Apple Watch 与 Mac，构建能够实际使用的本地优先复杂 Agent。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端到端全栈开发：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完成移动端、Watch 端、本地数据层、Mac 服务及 Agent 交互界面的全栈实现，打通数据采集、本地存储、任务调度、Agent 运行、结果展示与计划采纳的完整产品链路。</w:t>
      </w:r>
    </w:p>
    <w:p>
      <w:pPr>
        <w:pStyle w:val="ListBullet"/>
        <w:keepNext w:val="0"/>
        <w:keepLines/>
        <w:widowControl/>
        <w:spacing w:before="0" w:after="52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复杂 Agent 系统：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基于 LangGraph 与 Codex CLI 实现今日分析、七日分析、连续追问、资料调研和次日计划等任务，支持持久化任务、上下文管理、证据约束、工具调用与结构化产物，并通过人工确认、重试和离线保底保障结果可靠落地。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核心能力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Agent 设计：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多 Agent 编排，LangGraph，Tool/Skill/Workflow 设计，结构化输出，模型路由，定时任务，human-in-the-loop。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可靠性与评测：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能力边界与澄清，规则校验与按需复查，自动化回归评测，小样本冷启动，badcase 分析，敏感信息处理与人工复核闭环。</w:t>
      </w:r>
    </w:p>
    <w:p>
      <w:pPr>
        <w:pStyle w:val="ListBullet"/>
        <w:keepNext w:val="0"/>
        <w:keepLines/>
        <w:widowControl/>
        <w:spacing w:before="0" w:after="3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知识与数据：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记忆管理，关键词与语义检索，分层知识库，分析方法工具化，指标平台，SQL，数据仓库，缓存与预计算。</w:t>
      </w:r>
    </w:p>
    <w:p>
      <w:pPr>
        <w:pStyle w:val="ListBullet"/>
        <w:keepNext w:val="0"/>
        <w:keepLines/>
        <w:widowControl/>
        <w:spacing w:before="0" w:after="40" w:lineRule="auto" w:line="264"/>
        <w:ind w:left="259" w:right="0" w:hanging="173"/>
      </w:pPr>
      <w:r>
        <w:rPr>
          <w:rFonts w:ascii="Arial" w:hAnsi="Arial" w:eastAsia="Hiragino Sans GB W6"/>
          <w:b/>
          <w:i w:val="0"/>
          <w:color w:val="182235"/>
          <w:sz w:val="17"/>
        </w:rPr>
        <w:t>工程基础：</w:t>
      </w:r>
      <w:r>
        <w:rPr>
          <w:rFonts w:ascii="Arial" w:hAnsi="Arial" w:eastAsia="Hiragino Sans GB W3"/>
          <w:b w:val="0"/>
          <w:i w:val="0"/>
          <w:color w:val="182235"/>
          <w:sz w:val="17"/>
        </w:rPr>
        <w:t>Python、Java、SQL，Hive、Spark/Spark SQL、Hadoop；具备接口集成、脚本与定时任务、数据处理、测试及问题排查经验。</w:t>
      </w:r>
    </w:p>
    <w:p>
      <w:pPr>
        <w:pStyle w:val="Heading1"/>
        <w:keepNext/>
        <w:keepLines/>
        <w:widowControl/>
        <w:spacing w:before="120" w:after="70" w:lineRule="auto" w:line="240"/>
        <w:ind w:left="0" w:right="0"/>
        <w:pBdr>
          <w:bottom w:val="single" w:sz="3" w:space="2" w:color="D8E2F2"/>
        </w:pBdr>
      </w:pPr>
      <w:r>
        <w:rPr>
          <w:rFonts w:ascii="Arial" w:hAnsi="Arial" w:eastAsia="Hiragino Sans GB W6"/>
          <w:b/>
          <w:i w:val="0"/>
          <w:color w:val="315A9B"/>
          <w:sz w:val="24"/>
        </w:rPr>
        <w:t xml:space="preserve">▐  </w:t>
      </w:r>
      <w:r>
        <w:rPr>
          <w:rFonts w:ascii="Arial" w:hAnsi="Arial" w:eastAsia="Hiragino Sans GB W6"/>
          <w:b/>
          <w:i w:val="0"/>
          <w:color w:val="315A9B"/>
          <w:sz w:val="25"/>
        </w:rPr>
        <w:t>论文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Yao Y.（导师）,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Wu H., Dong A., et al. Explainable Mapping of the Irregular Land Use Parcel With a Data Fusion Deep-Learning Model. IEEE Transactions on Geoscience and Remote Sensing, 63, 2025, 1-15. [中科院一区 · CCF B]</w:t>
      </w:r>
    </w:p>
    <w:p>
      <w:pPr>
        <w:pStyle w:val="ListBullet"/>
        <w:keepNext w:val="0"/>
        <w:keepLines/>
        <w:widowControl/>
        <w:spacing w:before="0" w:after="40" w:lineRule="auto" w:line="252"/>
        <w:ind w:left="259" w:right="0" w:hanging="173"/>
      </w:pPr>
      <w:r>
        <w:rPr>
          <w:rFonts w:ascii="Arial" w:hAnsi="Arial" w:eastAsia="Hiragino Sans GB W3"/>
          <w:b w:val="0"/>
          <w:i w:val="0"/>
          <w:color w:val="182235"/>
          <w:sz w:val="16"/>
        </w:rPr>
        <w:t xml:space="preserve">Wu H., Jiang Z., Dong A., </w:t>
      </w:r>
      <w:r>
        <w:rPr>
          <w:rFonts w:ascii="Arial" w:hAnsi="Arial" w:eastAsia="Hiragino Sans GB W6"/>
          <w:b/>
          <w:i w:val="0"/>
          <w:color w:val="182235"/>
          <w:sz w:val="16"/>
        </w:rPr>
        <w:t>Gao R.</w:t>
      </w:r>
      <w:r>
        <w:rPr>
          <w:rFonts w:ascii="Arial" w:hAnsi="Arial" w:eastAsia="Hiragino Sans GB W3"/>
          <w:b w:val="0"/>
          <w:i w:val="0"/>
          <w:color w:val="182235"/>
          <w:sz w:val="16"/>
        </w:rPr>
        <w:t>, et al. DCAI-CLUD: A Data-Centric Framework for the Construction of Land-Use Datasets. International Journal of Geographical Information Science, 38(11), 2024, 2379-2402. [中科院一区 · CCF C]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1906" w:h="16838"/>
      <w:pgMar w:top="482" w:right="935" w:bottom="567" w:left="935" w:header="255" w:footer="25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v0.9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900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600"/>
      <w:gridCol w:w="2300"/>
    </w:tblGrid>
    <w:tr>
      <w:tc>
        <w:tcPr>
          <w:tcW w:type="dxa" w:w="76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5"/>
            </w:rPr>
            <w:t>高荣徽 · Data Agent 简历 · v0.9</w:t>
          </w:r>
        </w:p>
      </w:tc>
      <w:tc>
        <w:tcPr>
          <w:tcW w:type="dxa" w:w="230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6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035"/>
      <w:jc w:val="left"/>
      <w:tblLayout w:type="fixed"/>
      <w:tblLook w:firstColumn="1" w:firstRow="1" w:lastColumn="0" w:lastRow="0" w:noHBand="0" w:noVBand="1" w:val="04A0"/>
      <w:tblInd w:w="0" w:type="dxa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512"/>
      <w:gridCol w:w="6523"/>
    </w:tblGrid>
    <w:tr>
      <w:tc>
        <w:tcPr>
          <w:tcW w:type="dxa" w:w="3512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</w:pPr>
          <w:r>
            <w:rPr>
              <w:rFonts w:ascii="Arial" w:hAnsi="Arial" w:eastAsia="Hiragino Sans GB W6"/>
              <w:b/>
              <w:i w:val="0"/>
              <w:color w:val="182235"/>
              <w:sz w:val="20"/>
            </w:rPr>
            <w:t>高荣徽</w:t>
          </w:r>
        </w:p>
      </w:tc>
      <w:tc>
        <w:tcPr>
          <w:tcW w:type="dxa" w:w="6523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keepNext w:val="0"/>
            <w:keepLines/>
            <w:widowControl/>
            <w:spacing w:before="0" w:after="0" w:lineRule="auto" w:line="240"/>
            <w:ind w:left="0" w:right="0"/>
            <w:jc w:val="right"/>
          </w:pPr>
          <w:r>
            <w:rPr>
              <w:rFonts w:ascii="Arial" w:hAnsi="Arial" w:eastAsia="Hiragino Sans GB W3"/>
              <w:b w:val="0"/>
              <w:i w:val="0"/>
              <w:color w:val="6D7B91"/>
              <w:sz w:val="17"/>
            </w:rPr>
            <w:t>电话：15927328070  |  邮箱：gao_rh@foxmail.com</w:t>
          </w:r>
        </w:p>
      </w:tc>
    </w:tr>
  </w:tbl>
  <w:p>
    <w:pPr>
      <w:keepNext w:val="0"/>
      <w:keepLines/>
      <w:widowControl/>
      <w:spacing w:before="20" w:after="0" w:lineRule="auto" w:line="240"/>
      <w:ind w:left="0" w:right="0"/>
      <w:pBdr>
        <w:bottom w:val="single" w:sz="8" w:space="1" w:color="315A9B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69" w:lineRule="auto"/>
    </w:pPr>
    <w:rPr>
      <w:rFonts w:ascii="Arial" w:hAnsi="Arial" w:eastAsia="Hiragino Sans GB W3"/>
      <w:color w:val="182235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 W6"/>
      <w:b/>
      <w:bCs/>
      <w:color w:val="315A9B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Hiragino Sans GB W3"/>
      <w:color w:val="182235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高荣徽 Data Agent 简历 v0.9</dc:title>
  <dc:subject>Agent开发工程师简历</dc:subject>
  <dc:creator>高荣徽</dc:creator>
  <cp:keywords/>
  <dc:description>现代藏蓝技术完整版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