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480" w:after="240"/>
        <w:jc w:val="CENTER"/>
      </w:pPr>
      <w:r>
        <w:rPr>
          <w:rFonts w:ascii="SimHei" w:hAnsi="SimHei" w:eastAsia="黑体"/>
          <w:b/>
          <w:sz w:val="36"/>
          <w:szCs w:val="36"/>
        </w:rPr>
        <w:t xml:space="preserve">面向铁路线路的智能视觉与多模态感知融合综合检测系统研究与实现</w:t>
      </w:r>
    </w:p>
    <w:bookmarkStart w:id="24" w:name="第1章-绪论"/>
    <w:p>
      <w:pPr>
        <w:jc w:val="center"/>
        <w:spacing w:after="60"/>
      </w:pPr>
      <w:r>
        <w:rPr>
          <w:rFonts w:ascii="SimSun" w:hAnsi="SimSun" w:eastAsia="宋体"/>
          <w:sz w:val="21"/>
          <w:szCs w:val="21"/>
        </w:rPr>
        <w:t xml:space="preserve">张三1,2，李四1,2，王五1,2</w:t>
      </w:r>
    </w:p>
    <w:p>
      <w:pPr>
        <w:jc w:val="center"/>
        <w:spacing w:after="60"/>
      </w:pPr>
      <w:r>
        <w:rPr>
          <w:rFonts w:ascii="SimSun" w:hAnsi="SimSun" w:eastAsia="宋体"/>
          <w:sz w:val="21"/>
          <w:szCs w:val="21"/>
        </w:rPr>
        <w:t xml:space="preserve">1. 济南铁路局科研所，山东 济南 250000</w:t>
      </w:r>
    </w:p>
    <w:p>
      <w:pPr>
        <w:jc w:val="center"/>
        <w:spacing w:after="60"/>
      </w:pPr>
      <w:r>
        <w:rPr>
          <w:rFonts w:ascii="SimSun" w:hAnsi="SimSun" w:eastAsia="宋体"/>
          <w:sz w:val="21"/>
          <w:szCs w:val="21"/>
        </w:rPr>
        <w:t xml:space="preserve">2. 济南华升信息科技有限公司，山东 济南 250000</w:t>
      </w:r>
    </w:p>
    <w:p>
      <w:pPr>
        <w:spacing w:before="280" w:after="120"/>
        <w:jc w:val="CENTER"/>
      </w:pPr>
      <w:r>
        <w:rPr>
          <w:rFonts w:ascii="SimHei" w:hAnsi="SimHei" w:eastAsia="黑体"/>
          <w:b/>
          <w:sz w:val="32"/>
          <w:szCs w:val="32"/>
        </w:rPr>
        <w:t xml:space="preserve">第1章 绪论</w:t>
      </w:r>
    </w:p>
    <w:bookmarkStart w:id="20" w:name="研究背景与问题提出"/>
    <w:p>
      <w:pPr>
        <w:spacing w:before="160" w:after="80"/>
        <w:jc w:val="LEFT"/>
      </w:pPr>
      <w:r>
        <w:rPr>
          <w:rFonts w:ascii="SimHei" w:hAnsi="SimHei" w:eastAsia="黑体"/>
          <w:b/>
          <w:sz w:val="26"/>
          <w:szCs w:val="26"/>
        </w:rPr>
        <w:t xml:space="preserve">1.1 研究背景与问题提出</w:t>
      </w:r>
    </w:p>
    <w:p>
      <w:pPr>
        <w:spacing w:after="120" w:line="440" w:lineRule="exact"/>
        <w:ind w:firstLine="419"/>
      </w:pPr>
      <w:r>
        <w:rPr>
          <w:rFonts w:ascii="SimSun" w:hAnsi="SimSun" w:eastAsia="宋体"/>
          <w:sz w:val="24"/>
          <w:szCs w:val="24"/>
        </w:rPr>
        <w:t xml:space="preserve">铁路线路在列车循环载荷作用下，轨面裂纹、螺栓松动、钢轨磨耗等疲劳损伤持续累积，严重时危及行车安全。及时、准确地发现线路病害，是工务维护的核心任务。铁路线路检测按数据性质可分为两大类：视觉类检测（轨面缺陷、道钉状态、焊缝质量等）和几何参数检测（轨距、水平、高低、廓形等）。两类检测在信号采集方式和处理路径上存在本质差异，长期分立运行。</w:t>
      </w:r>
    </w:p>
    <w:p>
      <w:pPr>
        <w:spacing w:after="120" w:line="440" w:lineRule="exact"/>
        <w:ind w:firstLine="419"/>
      </w:pPr>
      <w:r>
        <w:rPr>
          <w:rFonts w:ascii="SimSun" w:hAnsi="SimSun" w:eastAsia="宋体"/>
          <w:sz w:val="24"/>
          <w:szCs w:val="24"/>
        </w:rPr>
        <w:t xml:space="preserve">近年来，深度学习和高精度传感器技术的快速发展，使铁路线路检测的智能化水平显著提升。然而，综合检测领域仍面临三个核心矛盾：</w:t>
      </w:r>
    </w:p>
    <w:p>
      <w:pPr>
        <w:spacing w:after="120" w:line="440" w:lineRule="exact"/>
        <w:ind w:firstLine="419"/>
      </w:pPr>
      <w:r>
        <w:rPr>
          <w:rFonts w:ascii="SimSun" w:hAnsi="SimSun" w:eastAsia="宋体"/>
          <w:sz w:val="24"/>
          <w:szCs w:val="24"/>
        </w:rPr>
        <w:t xml:space="preserve">矛盾一：时空基准不统一导致多源数据无法精确融合。 现有方案中，视觉检测与几何参数检测通常由不同设备分别完成，各设备使用独立时钟和里程基准，两类数据难以精确关联。“某处轨距超限是否伴随局部视觉异常”这类跨维度联合分析缺乏可信的数据基础。</w:t>
      </w:r>
    </w:p>
    <w:p>
      <w:pPr>
        <w:spacing w:after="120" w:line="440" w:lineRule="exact"/>
        <w:ind w:firstLine="419"/>
      </w:pPr>
      <w:r>
        <w:rPr>
          <w:rFonts w:ascii="SimSun" w:hAnsi="SimSun" w:eastAsia="宋体"/>
          <w:sz w:val="24"/>
          <w:szCs w:val="24"/>
        </w:rPr>
        <w:t xml:space="preserve">矛盾二：检测精度与作业效率难以兼得。 传统轨道检查车精度高但调度周期长；便携仪器灵活但人工效率低、数据离散性大。现有方案在”全面覆盖”与”精确测量”之间难以兼得。</w:t>
      </w:r>
    </w:p>
    <w:p>
      <w:pPr>
        <w:spacing w:after="120" w:line="440" w:lineRule="exact"/>
        <w:ind w:firstLine="419"/>
      </w:pPr>
      <w:r>
        <w:rPr>
          <w:rFonts w:ascii="SimSun" w:hAnsi="SimSun" w:eastAsia="宋体"/>
          <w:sz w:val="24"/>
          <w:szCs w:val="24"/>
        </w:rPr>
        <w:t xml:space="preserve">矛盾三：融合机制停留于拼接层，自适应能力不足。 单一算法在特定任务上精度已较高，但各传感器独立检测后仅做结果拼接，缺乏特征级和决策级的深度融合；融合权重多基于工程经验固定配置，面对传感器性能退化或环境变化时鲁棒性不足。</w:t>
      </w:r>
    </w:p>
    <w:p>
      <w:pPr>
        <w:spacing w:after="120" w:line="440" w:lineRule="exact"/>
        <w:ind w:firstLine="419"/>
      </w:pPr>
      <w:r>
        <w:rPr>
          <w:rFonts w:ascii="SimSun" w:hAnsi="SimSun" w:eastAsia="宋体"/>
          <w:sz w:val="24"/>
          <w:szCs w:val="24"/>
        </w:rPr>
        <w:t xml:space="preserve">上述三个矛盾并非某一算法的局部不足，而是系统架构层面的共性瓶颈，制约着铁路线路综合检测技术的进一步发展。</w:t>
      </w:r>
    </w:p>
    <w:bookmarkEnd w:id="20"/>
    <w:bookmarkStart w:id="21" w:name="国内外研究现状与评述"/>
    <w:p>
      <w:pPr>
        <w:spacing w:before="160" w:after="80"/>
        <w:jc w:val="LEFT"/>
      </w:pPr>
      <w:r>
        <w:rPr>
          <w:rFonts w:ascii="SimHei" w:hAnsi="SimHei" w:eastAsia="黑体"/>
          <w:b/>
          <w:sz w:val="26"/>
          <w:szCs w:val="26"/>
        </w:rPr>
        <w:t xml:space="preserve">1.2 国内外研究现状与评述</w:t>
      </w:r>
    </w:p>
    <w:p>
      <w:pPr>
        <w:spacing w:after="120" w:line="440" w:lineRule="exact"/>
        <w:ind w:firstLine="419"/>
      </w:pPr>
      <w:r>
        <w:rPr>
          <w:rFonts w:ascii="SimSun" w:hAnsi="SimSun" w:eastAsia="宋体"/>
          <w:sz w:val="24"/>
          <w:szCs w:val="24"/>
        </w:rPr>
        <w:t xml:space="preserve">视觉检测方向，深度学习方法已广泛应用于铁路检测领域。Faster R-CNN、YOLO等目标检测算法在轨面缺陷识别上取得较好效果，mAP@0.5可达89%以上。然而，现有研究多针对单一视觉任务，缺乏多视觉任务协同设计框架，且验证多在实验室条件下开展，与真实铁路环境存在较大差距。此外，传统图像处理方法（如模板匹配、边缘检测）在小目标、高密度场景（道钉群、螺栓群）上仍具有不可替代的优势，但相关研究与深度学习方法的有机结合尚不充分。</w:t>
      </w:r>
    </w:p>
    <w:p>
      <w:pPr>
        <w:spacing w:after="120" w:line="440" w:lineRule="exact"/>
        <w:ind w:firstLine="419"/>
      </w:pPr>
      <w:r>
        <w:rPr>
          <w:rFonts w:ascii="SimSun" w:hAnsi="SimSun" w:eastAsia="宋体"/>
          <w:sz w:val="24"/>
          <w:szCs w:val="24"/>
        </w:rPr>
        <w:t xml:space="preserve">几何参数检测方向，惯性基准法和激光三角测量法是主流技术。惯性基准法利用IMU数据估计车体姿态，结合里程仪推算轨道几何参数，但IMU存在零偏漂移问题，姿态角测量受安装角度和温度影响；激光三角测量法精度较高，但面对车体姿态扰动时缺乏有效的在线校正机制，往往需要额外的姿态传感器辅助解算。如何在高噪声、强振动的现场环境下实现几何参数的精确测量，仍是该方向的核心挑战。</w:t>
      </w:r>
    </w:p>
    <w:p>
      <w:pPr>
        <w:spacing w:after="120" w:line="440" w:lineRule="exact"/>
        <w:ind w:firstLine="419"/>
      </w:pPr>
      <w:r>
        <w:rPr>
          <w:rFonts w:ascii="SimSun" w:hAnsi="SimSun" w:eastAsia="宋体"/>
          <w:sz w:val="24"/>
          <w:szCs w:val="24"/>
        </w:rPr>
        <w:t xml:space="preserve">多源数据融合方向，现有研究多停留在”各传感器独立检测后结果拼接”的层面，融合权重基于工程经验设定，无自适应机制。文献中偶有自适应权重的研究，但权重计算多依赖离线标定或人工阈值，在线自适应能力有限。总体而言，现有融合架构缺乏系统设计，融合增益未能充分释放。</w:t>
      </w:r>
    </w:p>
    <w:p>
      <w:pPr>
        <w:spacing w:after="120" w:line="440" w:lineRule="exact"/>
        <w:ind w:firstLine="419"/>
      </w:pPr>
      <w:r>
        <w:rPr>
          <w:rFonts w:ascii="SimSun" w:hAnsi="SimSun" w:eastAsia="宋体"/>
          <w:sz w:val="24"/>
          <w:szCs w:val="24"/>
        </w:rPr>
        <w:t xml:space="preserve">综合检测系统方向，国内外已有多台综合检测列车投入运营，但普遍存在的问题是：系统体积大、成本高、维护复杂，难以在中小规模工务段推广；且各功能模块在系统层面缺乏统一的时空基准设计，多源数据的融合深度有限。</w:t>
      </w:r>
    </w:p>
    <w:p>
      <w:pPr>
        <w:spacing w:after="120" w:line="440" w:lineRule="exact"/>
        <w:ind w:firstLine="419"/>
      </w:pPr>
      <w:r>
        <w:rPr>
          <w:rFonts w:ascii="SimSun" w:hAnsi="SimSun" w:eastAsia="宋体"/>
          <w:sz w:val="24"/>
          <w:szCs w:val="24"/>
        </w:rPr>
        <w:t xml:space="preserve">文献评述总结：现有研究存在四项共性不足——①时空基准不统一，多源数据难以精确关联；②融合架构缺乏系统设计，融合停留于拼接层；③融合权重缺乏自适应机制，鲁棒性不足；④缺乏实际线路的系统性验证，尤其是多功能协同运行的综合性能评估。这些不足构成了本文研究的出发点。</w:t>
      </w:r>
    </w:p>
    <w:bookmarkEnd w:id="21"/>
    <w:bookmarkStart w:id="22" w:name="研究目标与创新点"/>
    <w:p>
      <w:pPr>
        <w:spacing w:before="160" w:after="80"/>
        <w:jc w:val="LEFT"/>
      </w:pPr>
      <w:r>
        <w:rPr>
          <w:rFonts w:ascii="SimHei" w:hAnsi="SimHei" w:eastAsia="黑体"/>
          <w:b/>
          <w:sz w:val="26"/>
          <w:szCs w:val="26"/>
        </w:rPr>
        <w:t xml:space="preserve">1.3 研究目标与创新点</w:t>
      </w:r>
    </w:p>
    <w:p>
      <w:pPr>
        <w:spacing w:after="120" w:line="440" w:lineRule="exact"/>
        <w:ind w:firstLine="419"/>
      </w:pPr>
      <w:r>
        <w:rPr>
          <w:rFonts w:ascii="SimSun" w:hAnsi="SimSun" w:eastAsia="宋体"/>
          <w:sz w:val="24"/>
          <w:szCs w:val="24"/>
        </w:rPr>
        <w:t xml:space="preserve">本文研究目标是：在统一时空基准下，实现视觉检测与几何参数检测的深度融合，提出具有自适应能力的融合判定算法，并在实际线路上完成系统性验证。</w:t>
      </w:r>
    </w:p>
    <w:p>
      <w:pPr>
        <w:spacing w:after="120" w:line="440" w:lineRule="exact"/>
        <w:ind w:firstLine="419"/>
      </w:pPr>
      <w:r>
        <w:rPr>
          <w:rFonts w:ascii="SimSun" w:hAnsi="SimSun" w:eastAsia="宋体"/>
          <w:sz w:val="24"/>
          <w:szCs w:val="24"/>
        </w:rPr>
        <w:t xml:space="preserve">围绕上述目标，本文有三项主要创新贡献：</w:t>
      </w:r>
    </w:p>
    <w:p>
      <w:pPr>
        <w:spacing w:after="120" w:line="440" w:lineRule="exact"/>
        <w:ind w:firstLine="419"/>
      </w:pPr>
      <w:r>
        <w:rPr>
          <w:rFonts w:ascii="SimSun" w:hAnsi="SimSun" w:eastAsia="宋体"/>
          <w:sz w:val="24"/>
          <w:szCs w:val="24"/>
        </w:rPr>
        <w:t xml:space="preserve">创新点一：提出”帧编号—里程坐标—UTC时间戳”三键索引时空对齐机制。 该机制从根本上消除了传统方案中里程近似对齐和时间窗口对齐引入的空间错位误差，将多传感器空间对齐精度从厘米级提升至亚毫米级（平均偏差3.2mm，较传统方案降低74.7%），使多传感器特征级融合成为可能。</w:t>
      </w:r>
    </w:p>
    <w:p>
      <w:pPr>
        <w:spacing w:after="120" w:line="440" w:lineRule="exact"/>
        <w:ind w:firstLine="419"/>
      </w:pPr>
      <w:r>
        <w:rPr>
          <w:rFonts w:ascii="SimSun" w:hAnsi="SimSun" w:eastAsia="宋体"/>
          <w:sz w:val="24"/>
          <w:szCs w:val="24"/>
        </w:rPr>
        <w:t xml:space="preserve">创新点二：提出基于检测可靠性因子的自适应动态加权几何平均融合算法。 融合权重由各维度检测器的实时置信度和方差动态确定，无需人工配置。在1000个缺陷样本验证集上，融合判定准确率达97.5%，且在传感器性能退化场景下展现出强鲁棒性（准确率仅下降1.4%），解决了固定权重融合在动态环境下性能退化的问题。</w:t>
      </w:r>
    </w:p>
    <w:p>
      <w:pPr>
        <w:spacing w:after="120" w:line="440" w:lineRule="exact"/>
        <w:ind w:firstLine="419"/>
      </w:pPr>
      <w:r>
        <w:rPr>
          <w:rFonts w:ascii="SimSun" w:hAnsi="SimSun" w:eastAsia="宋体"/>
          <w:sz w:val="24"/>
          <w:szCs w:val="24"/>
        </w:rPr>
        <w:t xml:space="preserve">创新点三：设计并实现了面向铁路线路综合检测的”快慢双速EKF融合架构”。 针对轨道高程估计与车体振动抑制这两个不同频带的物理过程，采用中心频率比20:1的双回路EKF架构，实现了高频振动通道与低频高程通道的频域解耦，高低不平顺测量精度优于±0.5mm，解决了单速滤波器难以兼顾两类过程的技术难题。</w:t>
      </w:r>
    </w:p>
    <w:bookmarkEnd w:id="22"/>
    <w:bookmarkStart w:id="23" w:name="论文结构安排"/>
    <w:p>
      <w:pPr>
        <w:spacing w:before="160" w:after="80"/>
        <w:jc w:val="LEFT"/>
      </w:pPr>
      <w:r>
        <w:rPr>
          <w:rFonts w:ascii="SimHei" w:hAnsi="SimHei" w:eastAsia="黑体"/>
          <w:b/>
          <w:sz w:val="26"/>
          <w:szCs w:val="26"/>
        </w:rPr>
        <w:t xml:space="preserve">1.4 论文结构安排</w:t>
      </w:r>
    </w:p>
    <w:p>
      <w:pPr>
        <w:spacing w:after="120" w:line="440" w:lineRule="exact"/>
        <w:ind w:firstLine="419"/>
      </w:pPr>
      <w:r>
        <w:rPr>
          <w:rFonts w:ascii="SimSun" w:hAnsi="SimSun" w:eastAsia="宋体"/>
          <w:sz w:val="24"/>
          <w:szCs w:val="24"/>
        </w:rPr>
        <w:t xml:space="preserve">本文共7章，各章内容安排如下：第2章阐述感知方案设计及实验方法；第3章详细论述多源数据融合的核心算法；第4章介绍视觉检测方法的实现；第5章在实际线路上开展系统性实验验证；第6章对本文方法进行讨论，分析局限性并展望未来方向；第7章总结全文。</w:t>
      </w:r>
    </w:p>
    <w:bookmarkEnd w:id="23"/>
    <w:bookmarkEnd w:id="24"/>
    <w:bookmarkStart w:id="29" w:name="第2章-感知方案与实验设计"/>
    <w:p>
      <w:pPr>
        <w:spacing w:before="280" w:after="120"/>
        <w:jc w:val="CENTER"/>
      </w:pPr>
      <w:r>
        <w:rPr>
          <w:rFonts w:ascii="SimHei" w:hAnsi="SimHei" w:eastAsia="黑体"/>
          <w:b/>
          <w:sz w:val="32"/>
          <w:szCs w:val="32"/>
        </w:rPr>
        <w:t xml:space="preserve">第2章 感知方案与实验设计</w:t>
      </w:r>
    </w:p>
    <w:bookmarkStart w:id="25" w:name="研究对象与实验环境"/>
    <w:p>
      <w:pPr>
        <w:spacing w:before="160" w:after="80"/>
        <w:jc w:val="LEFT"/>
      </w:pPr>
      <w:r>
        <w:rPr>
          <w:rFonts w:ascii="SimHei" w:hAnsi="SimHei" w:eastAsia="黑体"/>
          <w:b/>
          <w:sz w:val="26"/>
          <w:szCs w:val="26"/>
        </w:rPr>
        <w:t xml:space="preserve">2.1 研究对象与实验环境</w:t>
      </w:r>
    </w:p>
    <w:p>
      <w:pPr>
        <w:spacing w:after="120" w:line="440" w:lineRule="exact"/>
        <w:ind w:firstLine="419"/>
      </w:pPr>
      <w:r>
        <w:rPr>
          <w:rFonts w:ascii="SimSun" w:hAnsi="SimSun" w:eastAsia="宋体"/>
          <w:sz w:val="24"/>
          <w:szCs w:val="24"/>
        </w:rPr>
        <w:t xml:space="preserve">本文研究对象为铁路线路综合检测系统，检测对象涵盖钢轨轨面状态、联结件状态、焊缝质量、几何参数等8项功能指标。</w:t>
      </w:r>
    </w:p>
    <w:p>
      <w:pPr>
        <w:spacing w:after="120" w:line="440" w:lineRule="exact"/>
        <w:ind w:firstLine="419"/>
      </w:pPr>
      <w:r>
        <w:rPr>
          <w:rFonts w:ascii="SimSun" w:hAnsi="SimSun" w:eastAsia="宋体"/>
          <w:sz w:val="24"/>
          <w:szCs w:val="24"/>
        </w:rPr>
        <w:t xml:space="preserve">实验在济南铁路局管内实际运营线路开展，测试区段覆盖四类典型场景：直线段（验证基础检测精度和重复性）、曲线段（多半径600m~2500m，验证姿态扰动下的检测鲁棒性）、桥梁过渡段（验证轨道刚度突变对廓形测量的影响）、道岔区域（验证复杂几何条件下的缺陷检出能力）。累计测试里程超过120km。</w:t>
      </w:r>
    </w:p>
    <w:p>
      <w:pPr>
        <w:spacing w:after="120" w:line="440" w:lineRule="exact"/>
        <w:ind w:firstLine="419"/>
      </w:pPr>
      <w:r>
        <w:rPr>
          <w:rFonts w:ascii="SimSun" w:hAnsi="SimSun" w:eastAsia="宋体"/>
          <w:sz w:val="24"/>
          <w:szCs w:val="24"/>
        </w:rPr>
        <w:t xml:space="preserve">实验期间天气涵盖晴天、阴天和小雨，环境条件具有代表性。</w:t>
      </w:r>
    </w:p>
    <w:bookmarkEnd w:id="25"/>
    <w:bookmarkStart w:id="26" w:name="感知系统配置与选型依据"/>
    <w:p>
      <w:pPr>
        <w:spacing w:before="160" w:after="80"/>
        <w:jc w:val="LEFT"/>
      </w:pPr>
      <w:r>
        <w:rPr>
          <w:rFonts w:ascii="SimHei" w:hAnsi="SimHei" w:eastAsia="黑体"/>
          <w:b/>
          <w:sz w:val="26"/>
          <w:szCs w:val="26"/>
        </w:rPr>
        <w:t xml:space="preserve">2.2 感知系统配置与选型依据</w:t>
      </w:r>
    </w:p>
    <w:p>
      <w:pPr>
        <w:spacing w:after="120" w:line="440" w:lineRule="exact"/>
        <w:ind w:firstLine="419"/>
      </w:pPr>
      <w:r>
        <w:rPr>
          <w:rFonts w:ascii="SimSun" w:hAnsi="SimSun" w:eastAsia="宋体"/>
          <w:sz w:val="24"/>
          <w:szCs w:val="24"/>
        </w:rPr>
        <w:t xml:space="preserve">综合检测系统的核心挑战在于：8种异构传感器（6路2D相机、2路3D激光、1组测距传感器矩阵、1个姿态传感器、2个单点测距传感器）在空间上分布安装，在时间上独立采样，在数据格式上各不相同。如何在统一时空基准下实现这些传感器数据的有机融合，是感知系统设计的首要问题。</w:t>
      </w:r>
    </w:p>
    <w:p>
      <w:pPr>
        <w:spacing w:after="120" w:line="440" w:lineRule="exact"/>
        <w:ind w:firstLine="419"/>
      </w:pPr>
      <w:r>
        <w:rPr>
          <w:rFonts w:ascii="SimSun" w:hAnsi="SimSun" w:eastAsia="宋体"/>
          <w:sz w:val="24"/>
          <w:szCs w:val="24"/>
        </w:rPr>
        <w:t xml:space="preserve">针对上述挑战，本文感知系统配置遵循三条原则：①时钟域统一，所有传感器共享同一PTP时间同步域，从硬件层面消除时钟偏差；②功能冗余设计，对高低检测等关键功能配置主备传感器通道，通过融合算法实现冗余校核；③带宽匹配设计，高频传感器（姿态200Hz、测距2000Hz、激光20000Hz）与低频传感器（相机20fps）在融合框架中各司其职，避免带宽浪费。</w:t>
      </w:r>
    </w:p>
    <w:p>
      <w:pPr>
        <w:spacing w:after="120" w:line="440" w:lineRule="exact"/>
        <w:ind w:firstLine="419"/>
      </w:pPr>
      <w:r>
        <w:rPr>
          <w:rFonts w:ascii="SimSun" w:hAnsi="SimSun" w:eastAsia="宋体"/>
          <w:sz w:val="24"/>
          <w:szCs w:val="24"/>
        </w:rPr>
        <w:t xml:space="preserve">各传感器配置及选型依据如下：</w:t>
      </w:r>
    </w:p>
    <w:p>
      <w:pPr>
        <w:spacing w:after="120" w:line="440" w:lineRule="exact"/>
        <w:ind w:firstLine="419"/>
      </w:pPr>
      <w:r>
        <w:rPr>
          <w:rFonts w:ascii="SimSun" w:hAnsi="SimSun" w:eastAsia="宋体"/>
          <w:sz w:val="24"/>
          <w:szCs w:val="24"/>
        </w:rPr>
        <w:t xml:space="preserve">2D工业相机（6路）：分辨率2448×2048px，帧率20fps，千兆以太网接口。选型依据：轨面缺陷（裂纹、掉块、凹陷）在图像中最小可分辨尺寸约0.5mm，2448像素对应80mm轨面宽度，单位像素精度约0.033mm，完全满足检测需求；20fps帧率与0.5m/s检测速度匹配，每帧覆盖25mm里程，满足连续检测需求。</w:t>
      </w:r>
    </w:p>
    <w:p>
      <w:pPr>
        <w:spacing w:after="120" w:line="440" w:lineRule="exact"/>
        <w:ind w:firstLine="419"/>
      </w:pPr>
      <w:r>
        <w:rPr>
          <w:rFonts w:ascii="SimSun" w:hAnsi="SimSun" w:eastAsia="宋体"/>
          <w:sz w:val="24"/>
          <w:szCs w:val="24"/>
        </w:rPr>
        <w:t xml:space="preserve">3D线激光（2路）：扫描频率20000Hz，每轮廓3200点，IP67防护。选型依据：扫描频率需满足运动重建需求——在0.5m/s速度下，20000Hz对应沿行程方向每25μm采集一点，空间分辨率远高于相机帧率，满足廓形和波磨检测精度需求；每轮廓3200点对应轨面宽度方向（80mm）每点约0.025mm，完全覆盖廓形测量精度要求（±0.15mm）。</w:t>
      </w:r>
    </w:p>
    <w:p>
      <w:pPr>
        <w:spacing w:after="120" w:line="440" w:lineRule="exact"/>
        <w:ind w:firstLine="419"/>
      </w:pPr>
      <w:r>
        <w:rPr>
          <w:rFonts w:ascii="SimSun" w:hAnsi="SimSun" w:eastAsia="宋体"/>
          <w:sz w:val="24"/>
          <w:szCs w:val="24"/>
        </w:rPr>
        <w:t xml:space="preserve">HWT905姿态传感器（1组）：采样率200Hz，三轴姿态角分辨率0.05°，PTP时间同步。选型依据：200Hz满足车体振动频带（0~20Hz）的奈奎斯特采样要求；0.05°分辨率对应约0.15mm的等效高低误差，通过多次平均可有效抑制量化噪声。</w:t>
      </w:r>
    </w:p>
    <w:p>
      <w:pPr>
        <w:spacing w:after="120" w:line="440" w:lineRule="exact"/>
        <w:ind w:firstLine="419"/>
      </w:pPr>
      <w:r>
        <w:rPr>
          <w:rFonts w:ascii="SimSun" w:hAnsi="SimSun" w:eastAsia="宋体"/>
          <w:sz w:val="24"/>
          <w:szCs w:val="24"/>
        </w:rPr>
        <w:t xml:space="preserve">单点测距传感器（2个）：采样率2000Hz，精度±0.15mm（现场综合），红外相位式测距原理。选型依据：2000Hz采样率累积数据用于慢回路EKF状态估计，融合输出10Hz轨道高程，频率配置满足奈奎斯特采样定理；±0.15mm精度满足《铁路线路修理规范》对高低检测±1mm的精度要求。</w:t>
      </w:r>
    </w:p>
    <w:p>
      <w:pPr>
        <w:spacing w:after="120" w:line="440" w:lineRule="exact"/>
        <w:ind w:firstLine="419"/>
      </w:pPr>
      <w:r>
        <w:rPr>
          <w:rFonts w:ascii="SimSun" w:hAnsi="SimSun" w:eastAsia="宋体"/>
          <w:sz w:val="24"/>
          <w:szCs w:val="24"/>
        </w:rPr>
        <w:t xml:space="preserve">测距传感器矩阵：采样率约1000Hz，精度±0.1mm。选型依据：直接测量左右轨内侧距，测量值与车体姿态角无关，避免了横滚角对轨距测量的干扰，简化了测量模型并提高了鲁棒性。</w:t>
      </w:r>
    </w:p>
    <w:bookmarkEnd w:id="26"/>
    <w:bookmarkStart w:id="27" w:name="实验评价指标体系"/>
    <w:p>
      <w:pPr>
        <w:spacing w:before="160" w:after="80"/>
        <w:jc w:val="LEFT"/>
      </w:pPr>
      <w:r>
        <w:rPr>
          <w:rFonts w:ascii="SimHei" w:hAnsi="SimHei" w:eastAsia="黑体"/>
          <w:b/>
          <w:sz w:val="26"/>
          <w:szCs w:val="26"/>
        </w:rPr>
        <w:t xml:space="preserve">2.3 实验评价指标体系</w:t>
      </w:r>
    </w:p>
    <w:p>
      <w:pPr>
        <w:spacing w:after="120" w:line="440" w:lineRule="exact"/>
        <w:ind w:firstLine="419"/>
      </w:pPr>
      <w:r>
        <w:rPr>
          <w:rFonts w:ascii="SimSun" w:hAnsi="SimSun" w:eastAsia="宋体"/>
          <w:sz w:val="24"/>
          <w:szCs w:val="24"/>
        </w:rPr>
        <w:t xml:space="preserve">为全面评估系统性能，本文建立了涵盖精度、鲁棒性、可靠性三个维度的评价指标体系：</w:t>
      </w:r>
    </w:p>
    <w:p>
      <w:pPr>
        <w:spacing w:after="120" w:line="440" w:lineRule="exact"/>
        <w:ind w:firstLine="419"/>
      </w:pPr>
      <w:r>
        <w:rPr>
          <w:rFonts w:ascii="SimSun" w:hAnsi="SimSun" w:eastAsia="宋体"/>
          <w:sz w:val="24"/>
          <w:szCs w:val="24"/>
        </w:rPr>
        <w:t xml:space="preserve">精度指标：各检测功能的绝对误差和相对误差，以标准轨段标定值或人工测量值为Ground Truth，采用均值误差和标准差描述；时空对齐精度以光学标记点坐标为参考基准。</w:t>
      </w:r>
    </w:p>
    <w:p>
      <w:pPr>
        <w:spacing w:after="120" w:line="440" w:lineRule="exact"/>
        <w:ind w:firstLine="419"/>
      </w:pPr>
      <w:r>
        <w:rPr>
          <w:rFonts w:ascii="SimSun" w:hAnsi="SimSun" w:eastAsia="宋体"/>
          <w:sz w:val="24"/>
          <w:szCs w:val="24"/>
        </w:rPr>
        <w:t xml:space="preserve">鲁棒性指标：在验证集中注入不同比例（5%、10%、20%）的测量噪声，评估融合算法的性能退化程度，以准确率下降幅度为鲁棒性度量。</w:t>
      </w:r>
    </w:p>
    <w:p>
      <w:pPr>
        <w:spacing w:after="120" w:line="440" w:lineRule="exact"/>
        <w:ind w:firstLine="419"/>
      </w:pPr>
      <w:r>
        <w:rPr>
          <w:rFonts w:ascii="SimSun" w:hAnsi="SimSun" w:eastAsia="宋体"/>
          <w:sz w:val="24"/>
          <w:szCs w:val="24"/>
        </w:rPr>
        <w:t xml:space="preserve">可靠性指标：在传感器性能退化条件下（模拟镜头污染、激光功率衰减），评估自适应融合算法的性能稳定性。</w:t>
      </w:r>
    </w:p>
    <w:bookmarkEnd w:id="27"/>
    <w:bookmarkStart w:id="28" w:name="系统技术指标"/>
    <w:p>
      <w:pPr>
        <w:spacing w:before="160" w:after="80"/>
        <w:jc w:val="LEFT"/>
      </w:pPr>
      <w:r>
        <w:rPr>
          <w:rFonts w:ascii="SimHei" w:hAnsi="SimHei" w:eastAsia="黑体"/>
          <w:b/>
          <w:sz w:val="26"/>
          <w:szCs w:val="26"/>
        </w:rPr>
        <w:t xml:space="preserve">2.4 系统技术指标</w:t>
      </w:r>
    </w:p>
    <w:p>
      <w:pPr>
        <w:spacing w:after="120" w:line="440" w:lineRule="exact"/>
        <w:ind w:firstLine="419"/>
      </w:pPr>
      <w:r>
        <w:rPr>
          <w:rFonts w:ascii="SimSun" w:hAnsi="SimSun" w:eastAsia="宋体"/>
          <w:sz w:val="24"/>
          <w:szCs w:val="24"/>
        </w:rPr>
        <w:t xml:space="preserve">综合检测系统核心参数如下：检测速度0.5m/s（精细检测模式）和1m/s（常规检测模式）；每天运行3小时；系统功耗&lt;500W；工控机防护等级IP54；相机/激光防护等级IP67。检测性能指标：轨面缺陷mAP@0.5达92.5%，廓形检测精度优于±0.15mm，波磨检测精度优于±0.1mm，轨距检测精度优于±0.3mm，水平检测误差&lt;0.4mm，高低检测精度优于±0.5mm，综合融合判定准确率97.5%。</w:t>
      </w:r>
    </w:p>
    <w:bookmarkEnd w:id="28"/>
    <w:bookmarkEnd w:id="29"/>
    <w:bookmarkStart w:id="43" w:name="第3章-多源数据融合方法"/>
    <w:p>
      <w:pPr>
        <w:spacing w:before="280" w:after="120"/>
        <w:jc w:val="CENTER"/>
      </w:pPr>
      <w:r>
        <w:rPr>
          <w:rFonts w:ascii="SimHei" w:hAnsi="SimHei" w:eastAsia="黑体"/>
          <w:b/>
          <w:sz w:val="32"/>
          <w:szCs w:val="32"/>
        </w:rPr>
        <w:t xml:space="preserve">第3章 多源数据融合方法</w:t>
      </w:r>
    </w:p>
    <w:bookmarkStart w:id="33" w:name="时空对齐机制"/>
    <w:p>
      <w:pPr>
        <w:spacing w:before="160" w:after="80"/>
        <w:jc w:val="LEFT"/>
      </w:pPr>
      <w:r>
        <w:rPr>
          <w:rFonts w:ascii="SimHei" w:hAnsi="SimHei" w:eastAsia="黑体"/>
          <w:b/>
          <w:sz w:val="26"/>
          <w:szCs w:val="26"/>
        </w:rPr>
        <w:t xml:space="preserve">3.1 时空对齐机制</w:t>
      </w:r>
    </w:p>
    <w:bookmarkStart w:id="30" w:name="问题定义"/>
    <w:p>
      <w:pPr>
        <w:spacing w:before="160" w:after="80"/>
        <w:jc w:val="LEFT"/>
      </w:pPr>
      <w:r>
        <w:rPr>
          <w:rFonts w:ascii="SimHei" w:hAnsi="SimHei" w:eastAsia="黑体"/>
          <w:b/>
          <w:sz w:val="26"/>
          <w:szCs w:val="26"/>
        </w:rPr>
        <w:t xml:space="preserve">3.1.1 问题定义</w:t>
      </w:r>
    </w:p>
    <w:p>
      <w:pPr>
        <w:spacing w:after="120" w:line="440" w:lineRule="exact"/>
        <w:ind w:firstLine="419"/>
      </w:pPr>
      <w:r>
        <w:rPr>
          <w:rFonts w:ascii="SimSun" w:hAnsi="SimSun" w:eastAsia="宋体"/>
          <w:sz w:val="24"/>
          <w:szCs w:val="24"/>
        </w:rPr>
        <w:t xml:space="preserve">综合检测系统的首要问题是：8种异构传感器在时间上独立采样、空间上分布安装，如何建立统一的时空基准，使来自不同传感器的数据能够精确关联到同一空间位置？</w:t>
      </w:r>
    </w:p>
    <w:p>
      <w:pPr>
        <w:spacing w:after="120" w:line="440" w:lineRule="exact"/>
        <w:ind w:firstLine="419"/>
      </w:pPr>
      <w:r>
        <w:rPr>
          <w:rFonts w:ascii="SimSun" w:hAnsi="SimSun" w:eastAsia="宋体"/>
          <w:sz w:val="24"/>
          <w:szCs w:val="24"/>
        </w:rPr>
        <w:t xml:space="preserve">现有方案存在两种典型策略：一是里程近似对齐，将不同采样率数据映射到最近里程点，缺陷是车体姿态变化时引入系统性空间错位；二是时间窗口对齐，以固定时间窗口聚合数据，缺陷是低采样率传感器可能出现”无数据可对齐”，且时间窗口宽度难以选取。</w:t>
      </w:r>
    </w:p>
    <w:p>
      <w:pPr>
        <w:spacing w:after="120" w:line="440" w:lineRule="exact"/>
        <w:ind w:firstLine="419"/>
      </w:pPr>
      <w:r>
        <w:rPr>
          <w:rFonts w:ascii="SimSun" w:hAnsi="SimSun" w:eastAsia="宋体"/>
          <w:sz w:val="24"/>
          <w:szCs w:val="24"/>
        </w:rPr>
        <w:t xml:space="preserve">这两种策略的共性缺陷是：时空对齐精度受车体姿态和行进速度影响，在复杂工况下误差显著增大，无法满足精确融合判定的需求。</w:t>
      </w:r>
    </w:p>
    <w:bookmarkEnd w:id="30"/>
    <w:bookmarkStart w:id="31" w:name="三键索引机制"/>
    <w:p>
      <w:pPr>
        <w:spacing w:before="160" w:after="80"/>
        <w:jc w:val="LEFT"/>
      </w:pPr>
      <w:r>
        <w:rPr>
          <w:rFonts w:ascii="SimHei" w:hAnsi="SimHei" w:eastAsia="黑体"/>
          <w:b/>
          <w:sz w:val="26"/>
          <w:szCs w:val="26"/>
        </w:rPr>
        <w:t xml:space="preserve">3.1.2 三键索引机制</w:t>
      </w:r>
    </w:p>
    <w:p>
      <w:pPr>
        <w:spacing w:after="120" w:line="440" w:lineRule="exact"/>
        <w:ind w:firstLine="419"/>
      </w:pPr>
      <w:r>
        <w:rPr>
          <w:rFonts w:ascii="SimSun" w:hAnsi="SimSun" w:eastAsia="宋体"/>
          <w:sz w:val="24"/>
          <w:szCs w:val="24"/>
        </w:rPr>
        <w:t xml:space="preserve">本文提出基于”帧编号—里程坐标—UTC时间戳”三键索引的时空对齐机制，从系统架构层面为多源异构数据建立统一时空基准。</w:t>
      </w:r>
    </w:p>
    <w:p>
      <w:pPr>
        <w:spacing w:after="120" w:line="440" w:lineRule="exact"/>
        <w:ind w:firstLine="419"/>
      </w:pPr>
      <w:r>
        <w:rPr>
          <w:rFonts w:ascii="SimSun" w:hAnsi="SimSun" w:eastAsia="宋体"/>
          <w:sz w:val="24"/>
          <w:szCs w:val="24"/>
        </w:rPr>
        <w:t xml:space="preserve">帧编号（FID）：编码器每产生N个脉冲（本文N=100）定义为一帧，对应约5mm的里程分辨率。帧编号作为数据融合的主键，确保参与融合的各传感器数据帧边界严格对齐。</w:t>
      </w:r>
    </w:p>
    <w:p>
      <w:pPr>
        <w:spacing w:after="120" w:line="440" w:lineRule="exact"/>
        <w:ind w:firstLine="419"/>
      </w:pPr>
      <w:r>
        <w:rPr>
          <w:rFonts w:ascii="SimSun" w:hAnsi="SimSun" w:eastAsia="宋体"/>
          <w:sz w:val="24"/>
          <w:szCs w:val="24"/>
        </w:rPr>
        <w:t xml:space="preserve">里程坐标（s_k）：编码器脉冲累积值经标准轨段标定后，任意帧FID_k的里程坐标为：</w:t>
      </w:r>
    </w:p>
    <w:p>
      <w:pPr>
        <w:pStyle w:val="BodyText"/>
      </w:pPr>
      <m:oMathPara>
        <m:oMathParaPr>
          <m:jc m:val="center"/>
        </m:oMathParaPr>
        <m:oMath>
          <m:sSub>
            <m:e>
              <m:r>
                <m:t>s</m:t>
              </m:r>
            </m:e>
            <m:sub>
              <m:r>
                <m:t>k</m:t>
              </m:r>
            </m:sub>
          </m:sSub>
          <m:r>
            <m:rPr>
              <m:sty m:val="p"/>
            </m:rPr>
            <m:t>=</m:t>
          </m:r>
          <m:f>
            <m:fPr>
              <m:type m:val="bar"/>
            </m:fPr>
            <m:num>
              <m:sSub>
                <m:e>
                  <m:r>
                    <m:t>L</m:t>
                  </m:r>
                </m:e>
                <m:sub>
                  <m:r>
                    <m:rPr>
                      <m:nor/>
                      <m:sty m:val="p"/>
                    </m:rPr>
                    <m:t>standard</m:t>
                  </m:r>
                </m:sub>
              </m:sSub>
            </m:num>
            <m:den>
              <m:sSubSup>
                <m:e>
                  <m:r>
                    <m:t>N</m:t>
                  </m:r>
                </m:e>
                <m:sub>
                  <m:r>
                    <m:rPr>
                      <m:nor/>
                      <m:sty m:val="p"/>
                    </m:rPr>
                    <m:t>encoder</m:t>
                  </m:r>
                </m:sub>
                <m:sup>
                  <m:d>
                    <m:dPr>
                      <m:begChr m:val="("/>
                      <m:endChr m:val=")"/>
                      <m:sepChr m:val=""/>
                      <m:grow/>
                    </m:dPr>
                    <m:e>
                      <m:r>
                        <m:rPr>
                          <m:nor/>
                          <m:sty m:val="p"/>
                        </m:rPr>
                        <m:t>standard</m:t>
                      </m:r>
                    </m:e>
                  </m:d>
                </m:sup>
              </m:sSubSup>
            </m:den>
          </m:f>
          <m:r>
            <m:rPr>
              <m:sty m:val="p"/>
            </m:rPr>
            <m:t>⋅</m:t>
          </m:r>
          <m:sSubSup>
            <m:e>
              <m:r>
                <m:t>N</m:t>
              </m:r>
            </m:e>
            <m:sub>
              <m:r>
                <m:rPr>
                  <m:nor/>
                  <m:sty m:val="p"/>
                </m:rPr>
                <m:t>encoder</m:t>
              </m:r>
            </m:sub>
            <m:sup>
              <m:d>
                <m:dPr>
                  <m:begChr m:val="("/>
                  <m:endChr m:val=")"/>
                  <m:sepChr m:val=""/>
                  <m:grow/>
                </m:dPr>
                <m:e>
                  <m:r>
                    <m:t>k</m:t>
                  </m:r>
                </m:e>
              </m:d>
            </m:sup>
          </m:sSubSup>
        </m:oMath>
      </m:oMathPara>
    </w:p>
    <w:p>
      <w:pPr>
        <w:spacing w:after="120" w:line="440" w:lineRule="exact"/>
        <w:ind w:firstLine="419"/>
      </w:pPr>
      <w:r>
        <w:rPr>
          <w:rFonts w:ascii="SimSun" w:hAnsi="SimSun" w:eastAsia="宋体"/>
          <w:sz w:val="24"/>
          <w:szCs w:val="24"/>
        </w:rPr>
        <w:t xml:space="preserve">标定过程消除了轮径磨损和打滑引入的里程累积误差。</w:t>
      </w:r>
    </w:p>
    <w:p>
      <w:pPr>
        <w:spacing w:after="120" w:line="440" w:lineRule="exact"/>
        <w:ind w:firstLine="419"/>
      </w:pPr>
      <w:r>
        <w:rPr>
          <w:rFonts w:ascii="SimSun" w:hAnsi="SimSun" w:eastAsia="宋体"/>
          <w:sz w:val="24"/>
          <w:szCs w:val="24"/>
        </w:rPr>
        <w:t xml:space="preserve">UTC时间戳（t_k）：每帧数据附带IEEE 1588 PTP同步的UTC时间戳，精度优于1μs，确保跨传感器时间基准统一。</w:t>
      </w:r>
    </w:p>
    <w:p>
      <w:pPr>
        <w:spacing w:after="120" w:line="440" w:lineRule="exact"/>
        <w:ind w:firstLine="419"/>
      </w:pPr>
      <w:r>
        <w:rPr>
          <w:rFonts w:ascii="SimSun" w:hAnsi="SimSun" w:eastAsia="宋体"/>
          <w:sz w:val="24"/>
          <w:szCs w:val="24"/>
        </w:rPr>
        <w:t xml:space="preserve">三键索引元组：任意检测数据点D的时空坐标记为：</w:t>
      </w:r>
    </w:p>
    <w:p>
      <w:pPr>
        <w:pStyle w:val="BodyText"/>
      </w:pPr>
      <m:oMathPara>
        <m:oMathParaPr>
          <m:jc m:val="center"/>
        </m:oMathParaPr>
        <m:oMath>
          <m:r>
            <m:t>T</m:t>
          </m:r>
          <m:d>
            <m:dPr>
              <m:begChr m:val="("/>
              <m:endChr m:val=")"/>
              <m:sepChr m:val=""/>
              <m:grow/>
            </m:dPr>
            <m:e>
              <m:r>
                <m:t>D</m:t>
              </m:r>
            </m:e>
          </m:d>
          <m:r>
            <m:rPr>
              <m:sty m:val="p"/>
            </m:rPr>
            <m:t>=</m:t>
          </m:r>
          <m:r>
            <m:rPr>
              <m:sty m:val="p"/>
            </m:rPr>
            <m:t>⟨</m:t>
          </m:r>
          <m:sSub>
            <m:e>
              <m:r>
                <m:rPr>
                  <m:nor/>
                  <m:sty m:val="p"/>
                </m:rPr>
                <m:t>FID</m:t>
              </m:r>
            </m:e>
            <m:sub>
              <m:r>
                <m:t>k</m:t>
              </m:r>
            </m:sub>
          </m:sSub>
          <m:r>
            <m:rPr>
              <m:sty m:val="p"/>
            </m:rPr>
            <m:t>,</m:t>
          </m:r>
          <m:r>
            <m:t> </m:t>
          </m:r>
          <m:sSub>
            <m:e>
              <m:r>
                <m:t>s</m:t>
              </m:r>
            </m:e>
            <m:sub>
              <m:r>
                <m:t>k</m:t>
              </m:r>
            </m:sub>
          </m:sSub>
          <m:r>
            <m:rPr>
              <m:sty m:val="p"/>
            </m:rPr>
            <m:t>,</m:t>
          </m:r>
          <m:r>
            <m:t> </m:t>
          </m:r>
          <m:sSub>
            <m:e>
              <m:r>
                <m:t>t</m:t>
              </m:r>
            </m:e>
            <m:sub>
              <m:r>
                <m:t>k</m:t>
              </m:r>
            </m:sub>
          </m:sSub>
          <m:r>
            <m:rPr>
              <m:sty m:val="p"/>
            </m:rPr>
            <m:t>⟩</m:t>
          </m:r>
        </m:oMath>
      </m:oMathPara>
    </w:p>
    <w:p>
      <w:pPr>
        <w:spacing w:after="120" w:line="440" w:lineRule="exact"/>
        <w:ind w:firstLine="419"/>
      </w:pPr>
      <w:r>
        <w:rPr>
          <w:rFonts w:ascii="SimSun" w:hAnsi="SimSun" w:eastAsia="宋体"/>
          <w:sz w:val="24"/>
          <w:szCs w:val="24"/>
        </w:rPr>
        <w:t xml:space="preserve">时空等价关系：任意两条数据和的时空等价关系定义为：</w:t>
      </w:r>
    </w:p>
    <w:p>
      <w:pPr>
        <w:pStyle w:val="BodyText"/>
      </w:pPr>
      <m:oMathPara>
        <m:oMathParaPr>
          <m:jc m:val="center"/>
        </m:oMathParaPr>
        <m:oMath>
          <m:r>
            <m:t>T</m:t>
          </m:r>
          <m:d>
            <m:dPr>
              <m:begChr m:val="("/>
              <m:endChr m:val=")"/>
              <m:sepChr m:val=""/>
              <m:grow/>
            </m:dPr>
            <m:e>
              <m:sSub>
                <m:e>
                  <m:r>
                    <m:t>D</m:t>
                  </m:r>
                </m:e>
                <m:sub>
                  <m:r>
                    <m:t>i</m:t>
                  </m:r>
                </m:sub>
              </m:sSub>
            </m:e>
          </m:d>
          <m:r>
            <m:rPr>
              <m:sty m:val="p"/>
            </m:rPr>
            <m:t>≡</m:t>
          </m:r>
          <m:r>
            <m:t>T</m:t>
          </m:r>
          <m:d>
            <m:dPr>
              <m:begChr m:val="("/>
              <m:endChr m:val=")"/>
              <m:sepChr m:val=""/>
              <m:grow/>
            </m:dPr>
            <m:e>
              <m:sSub>
                <m:e>
                  <m:r>
                    <m:t>D</m:t>
                  </m:r>
                </m:e>
                <m:sub>
                  <m:r>
                    <m:t>j</m:t>
                  </m:r>
                </m:sub>
              </m:sSub>
            </m:e>
          </m:d>
          <m:r>
            <m:rPr>
              <m:sty m:val="p"/>
            </m:rPr>
            <m:t>⇔</m:t>
          </m:r>
          <m:d>
            <m:dPr>
              <m:begChr m:val="|"/>
              <m:endChr m:val="|"/>
              <m:sepChr m:val=""/>
              <m:grow/>
            </m:dPr>
            <m:e>
              <m:sSub>
                <m:e>
                  <m:r>
                    <m:rPr>
                      <m:nor/>
                      <m:sty m:val="p"/>
                    </m:rPr>
                    <m:t>FID</m:t>
                  </m:r>
                </m:e>
                <m:sub>
                  <m:r>
                    <m:t>i</m:t>
                  </m:r>
                </m:sub>
              </m:sSub>
              <m:r>
                <m:rPr>
                  <m:sty m:val="p"/>
                </m:rPr>
                <m:t>−</m:t>
              </m:r>
              <m:sSub>
                <m:e>
                  <m:r>
                    <m:rPr>
                      <m:nor/>
                      <m:sty m:val="p"/>
                    </m:rPr>
                    <m:t>FID</m:t>
                  </m:r>
                </m:e>
                <m:sub>
                  <m:r>
                    <m:t>j</m:t>
                  </m:r>
                </m:sub>
              </m:sSub>
            </m:e>
          </m:d>
          <m:r>
            <m:rPr>
              <m:sty m:val="p"/>
            </m:rPr>
            <m:t>≤</m:t>
          </m:r>
          <m:r>
            <m:t>1</m:t>
          </m:r>
          <m:r>
            <m:t> </m:t>
          </m:r>
          <m:r>
            <m:rPr>
              <m:sty m:val="p"/>
            </m:rPr>
            <m:t>∧</m:t>
          </m:r>
          <m:r>
            <m:t> </m:t>
          </m:r>
          <m:d>
            <m:dPr>
              <m:begChr m:val="|"/>
              <m:endChr m:val="|"/>
              <m:sepChr m:val=""/>
              <m:grow/>
            </m:dPr>
            <m:e>
              <m:sSub>
                <m:e>
                  <m:r>
                    <m:t>s</m:t>
                  </m:r>
                </m:e>
                <m:sub>
                  <m:r>
                    <m:t>i</m:t>
                  </m:r>
                </m:sub>
              </m:sSub>
              <m:r>
                <m:rPr>
                  <m:sty m:val="p"/>
                </m:rPr>
                <m:t>−</m:t>
              </m:r>
              <m:sSub>
                <m:e>
                  <m:r>
                    <m:t>s</m:t>
                  </m:r>
                </m:e>
                <m:sub>
                  <m:r>
                    <m:t>j</m:t>
                  </m:r>
                </m:sub>
              </m:sSub>
            </m:e>
          </m:d>
          <m:r>
            <m:rPr>
              <m:sty m:val="p"/>
            </m:rPr>
            <m:t>≤</m:t>
          </m:r>
          <m:r>
            <m:t>Δ</m:t>
          </m:r>
          <m:sSub>
            <m:e>
              <m:r>
                <m:t>s</m:t>
              </m:r>
            </m:e>
            <m:sub>
              <m:r>
                <m:rPr>
                  <m:sty m:val="p"/>
                </m:rPr>
                <m:t>max</m:t>
              </m:r>
            </m:sub>
          </m:sSub>
          <m:r>
            <m:t> </m:t>
          </m:r>
          <m:r>
            <m:rPr>
              <m:sty m:val="p"/>
            </m:rPr>
            <m:t>∧</m:t>
          </m:r>
          <m:r>
            <m:t> </m:t>
          </m:r>
          <m:d>
            <m:dPr>
              <m:begChr m:val="|"/>
              <m:endChr m:val="|"/>
              <m:sepChr m:val=""/>
              <m:grow/>
            </m:dPr>
            <m:e>
              <m:sSub>
                <m:e>
                  <m:r>
                    <m:t>t</m:t>
                  </m:r>
                </m:e>
                <m:sub>
                  <m:r>
                    <m:t>i</m:t>
                  </m:r>
                </m:sub>
              </m:sSub>
              <m:r>
                <m:rPr>
                  <m:sty m:val="p"/>
                </m:rPr>
                <m:t>−</m:t>
              </m:r>
              <m:sSub>
                <m:e>
                  <m:r>
                    <m:t>t</m:t>
                  </m:r>
                </m:e>
                <m:sub>
                  <m:r>
                    <m:t>j</m:t>
                  </m:r>
                </m:sub>
              </m:sSub>
            </m:e>
          </m:d>
          <m:r>
            <m:rPr>
              <m:sty m:val="p"/>
            </m:rPr>
            <m:t>≤</m:t>
          </m:r>
          <m:r>
            <m:t>Δ</m:t>
          </m:r>
          <m:sSub>
            <m:e>
              <m:r>
                <m:t>t</m:t>
              </m:r>
            </m:e>
            <m:sub>
              <m:r>
                <m:rPr>
                  <m:sty m:val="p"/>
                </m:rPr>
                <m:t>max</m:t>
              </m:r>
            </m:sub>
          </m:sSub>
        </m:oMath>
      </m:oMathPara>
    </w:p>
    <w:p>
      <w:pPr>
        <w:spacing w:after="120" w:line="440" w:lineRule="exact"/>
        <w:ind w:firstLine="419"/>
      </w:pPr>
      <w:r>
        <w:rPr>
          <w:rFonts w:ascii="SimSun" w:hAnsi="SimSun" w:eastAsia="宋体"/>
          <w:sz w:val="24"/>
          <w:szCs w:val="24"/>
        </w:rPr>
        <w:t xml:space="preserve">其中，，。</w:t>
      </w:r>
    </w:p>
    <w:bookmarkEnd w:id="31"/>
    <w:bookmarkStart w:id="32" w:name="物理实现"/>
    <w:p>
      <w:pPr>
        <w:spacing w:before="160" w:after="80"/>
        <w:jc w:val="LEFT"/>
      </w:pPr>
      <w:r>
        <w:rPr>
          <w:rFonts w:ascii="SimHei" w:hAnsi="SimHei" w:eastAsia="黑体"/>
          <w:b/>
          <w:sz w:val="26"/>
          <w:szCs w:val="26"/>
        </w:rPr>
        <w:t xml:space="preserve">3.1.3 物理实现</w:t>
      </w:r>
    </w:p>
    <w:p>
      <w:pPr>
        <w:spacing w:after="120" w:line="440" w:lineRule="exact"/>
        <w:ind w:firstLine="419"/>
      </w:pPr>
      <w:r>
        <w:rPr>
          <w:rFonts w:ascii="SimSun" w:hAnsi="SimSun" w:eastAsia="宋体"/>
          <w:sz w:val="24"/>
          <w:szCs w:val="24"/>
        </w:rPr>
        <w:t xml:space="preserve">编码器脉冲触发帧分割逻辑，每积累N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pPr>
        <w:spacing w:after="120" w:line="440" w:lineRule="exact"/>
        <w:ind w:firstLine="419"/>
      </w:pPr>
      <w:r>
        <w:rPr>
          <w:rFonts w:ascii="SimSun" w:hAnsi="SimSun" w:eastAsia="宋体"/>
          <w:sz w:val="24"/>
          <w:szCs w:val="24"/>
        </w:rPr>
        <w:t xml:space="preserve">该机制的核心价值在于：8种传感器的原始数据在硬件层面就完成了帧边界对齐，后续融合算法直接基于精确关联的数据帧进行计算，消除了传统方案中近似对齐带来的系统性空间错位误差。</w:t>
      </w:r>
    </w:p>
    <w:bookmarkEnd w:id="32"/>
    <w:bookmarkEnd w:id="33"/>
    <w:bookmarkStart w:id="34" w:name="三级融合框架"/>
    <w:p>
      <w:pPr>
        <w:spacing w:before="160" w:after="80"/>
        <w:jc w:val="LEFT"/>
      </w:pPr>
      <w:r>
        <w:rPr>
          <w:rFonts w:ascii="SimHei" w:hAnsi="SimHei" w:eastAsia="黑体"/>
          <w:b/>
          <w:sz w:val="26"/>
          <w:szCs w:val="26"/>
        </w:rPr>
        <w:t xml:space="preserve">3.2 三级融合框架</w:t>
      </w:r>
    </w:p>
    <w:p>
      <w:pPr>
        <w:spacing w:after="120" w:line="440" w:lineRule="exact"/>
        <w:ind w:firstLine="419"/>
      </w:pPr>
      <w:r>
        <w:rPr>
          <w:rFonts w:ascii="SimSun" w:hAnsi="SimSun" w:eastAsia="宋体"/>
          <w:sz w:val="24"/>
          <w:szCs w:val="24"/>
        </w:rPr>
        <w:t xml:space="preserve">多源数据融合的价值不在于”多”，而在于”融合”——不同传感器从不同角度观测同一物理量，融合后的判定结果比任何单一数据源更可信。然而，融合的层次和方式直接影响最终效果。</w:t>
      </w:r>
    </w:p>
    <w:p>
      <w:pPr>
        <w:spacing w:after="120" w:line="440" w:lineRule="exact"/>
        <w:ind w:firstLine="419"/>
      </w:pPr>
      <w:r>
        <w:rPr>
          <w:rFonts w:ascii="SimSun" w:hAnsi="SimSun" w:eastAsia="宋体"/>
          <w:sz w:val="24"/>
          <w:szCs w:val="24"/>
        </w:rPr>
        <w:t xml:space="preserve">本文提出”时间对齐→空间关联→判级融合”三级融合框架，逐级实现信息浓缩和可信度提升：</w:t>
      </w:r>
    </w:p>
    <w:p>
      <w:pPr>
        <w:spacing w:after="120" w:line="440" w:lineRule="exact"/>
        <w:ind w:firstLine="419"/>
      </w:pPr>
      <w:r>
        <w:rPr>
          <w:rFonts w:ascii="SimSun" w:hAnsi="SimSun" w:eastAsia="宋体"/>
          <w:sz w:val="24"/>
          <w:szCs w:val="24"/>
        </w:rPr>
        <w:t xml:space="preserve">第一级（时间对齐）：将8种异构传感器的原始数据按帧编号精确对齐，输出帧对齐数据序列，对应3.1节三键索引机制。</w:t>
      </w:r>
    </w:p>
    <w:p>
      <w:pPr>
        <w:spacing w:after="120" w:line="440" w:lineRule="exact"/>
        <w:ind w:firstLine="419"/>
      </w:pPr>
      <w:r>
        <w:rPr>
          <w:rFonts w:ascii="SimSun" w:hAnsi="SimSun" w:eastAsia="宋体"/>
          <w:sz w:val="24"/>
          <w:szCs w:val="24"/>
        </w:rPr>
        <w:t xml:space="preserve">第二级（空间关联）：对帧对齐数据进行空间坐标变换，将各传感器的观测数据统一映射到轨道坐标系下。对于视觉检测数据，经姿态角修正后的里程坐标为：</w:t>
      </w:r>
    </w:p>
    <w:p>
      <w:pPr>
        <w:pStyle w:val="BodyText"/>
      </w:pPr>
      <m:oMathPara>
        <m:oMathParaPr>
          <m:jc m:val="center"/>
        </m:oMathParaPr>
        <m:oMath>
          <m:sSub>
            <m:e>
              <m:r>
                <m:t>X</m:t>
              </m:r>
            </m:e>
            <m:sub>
              <m:r>
                <m:rPr>
                  <m:nor/>
                  <m:sty m:val="p"/>
                </m:rPr>
                <m:t>corrected</m:t>
              </m:r>
            </m:sub>
          </m:sSub>
          <m:r>
            <m:rPr>
              <m:sty m:val="p"/>
            </m:rPr>
            <m:t>=</m:t>
          </m:r>
          <m:sSub>
            <m:e>
              <m:r>
                <m:t>X</m:t>
              </m:r>
            </m:e>
            <m:sub>
              <m:r>
                <m:rPr>
                  <m:nor/>
                  <m:sty m:val="p"/>
                </m:rPr>
                <m:t>raw</m:t>
              </m:r>
            </m:sub>
          </m:sSub>
          <m:r>
            <m:rPr>
              <m:sty m:val="p"/>
            </m:rPr>
            <m:t>−</m:t>
          </m:r>
          <m:r>
            <m:t>L</m:t>
          </m:r>
          <m:r>
            <m:rPr>
              <m:sty m:val="p"/>
            </m:rPr>
            <m:t>⋅</m:t>
          </m:r>
          <m:d>
            <m:dPr>
              <m:begChr m:val="("/>
              <m:endChr m:val=")"/>
              <m:sepChr m:val=""/>
              <m:grow/>
            </m:dPr>
            <m:e>
              <m:r>
                <m:t>1</m:t>
              </m:r>
              <m:r>
                <m:rPr>
                  <m:sty m:val="p"/>
                </m:rPr>
                <m:t>−</m:t>
              </m:r>
              <m:r>
                <m:rPr>
                  <m:sty m:val="p"/>
                </m:rPr>
                <m:t>cos</m:t>
              </m:r>
              <m:sSub>
                <m:e>
                  <m:r>
                    <m:t>θ</m:t>
                  </m:r>
                </m:e>
                <m:sub>
                  <m:r>
                    <m:rPr>
                      <m:nor/>
                      <m:sty m:val="p"/>
                    </m:rPr>
                    <m:t>pitch</m:t>
                  </m:r>
                </m:sub>
              </m:sSub>
            </m:e>
          </m:d>
        </m:oMath>
      </m:oMathPara>
    </w:p>
    <w:p>
      <w:pPr>
        <w:spacing w:after="120" w:line="440" w:lineRule="exact"/>
        <w:ind w:firstLine="419"/>
      </w:pPr>
      <w:r>
        <w:rPr>
          <w:rFonts w:ascii="SimSun" w:hAnsi="SimSun" w:eastAsia="宋体"/>
          <w:sz w:val="24"/>
          <w:szCs w:val="24"/>
        </w:rPr>
        <w:t xml:space="preserve">其中，为传感器至轨面高度，为俯仰角。</w:t>
      </w:r>
    </w:p>
    <w:p>
      <w:pPr>
        <w:spacing w:after="120" w:line="440" w:lineRule="exact"/>
        <w:ind w:firstLine="419"/>
      </w:pPr>
      <w:r>
        <w:rPr>
          <w:rFonts w:ascii="SimSun" w:hAnsi="SimSun" w:eastAsia="宋体"/>
          <w:sz w:val="24"/>
          <w:szCs w:val="24"/>
        </w:rPr>
        <w:t xml:space="preserve">第三级（判级融合）：在统一空间坐标下，对多维度数据（2D图像特征、3D点云几何、IMU振动信号）进行缺陷类型和等级的联合判定，数学方法见3.3节。</w:t>
      </w:r>
    </w:p>
    <w:bookmarkEnd w:id="34"/>
    <w:bookmarkStart w:id="38" w:name="自适应动态加权融合算法"/>
    <w:p>
      <w:pPr>
        <w:spacing w:before="160" w:after="80"/>
        <w:jc w:val="LEFT"/>
      </w:pPr>
      <w:r>
        <w:rPr>
          <w:rFonts w:ascii="SimHei" w:hAnsi="SimHei" w:eastAsia="黑体"/>
          <w:b/>
          <w:sz w:val="26"/>
          <w:szCs w:val="26"/>
        </w:rPr>
        <w:t xml:space="preserve">3.3 自适应动态加权融合算法</w:t>
      </w:r>
    </w:p>
    <w:bookmarkStart w:id="35" w:name="现有方法的局限性"/>
    <w:p>
      <w:pPr>
        <w:spacing w:before="160" w:after="80"/>
        <w:jc w:val="LEFT"/>
      </w:pPr>
      <w:r>
        <w:rPr>
          <w:rFonts w:ascii="SimHei" w:hAnsi="SimHei" w:eastAsia="黑体"/>
          <w:b/>
          <w:sz w:val="26"/>
          <w:szCs w:val="26"/>
        </w:rPr>
        <w:t xml:space="preserve">3.3.1 现有方法的局限性</w:t>
      </w:r>
    </w:p>
    <w:p>
      <w:pPr>
        <w:spacing w:after="120" w:line="440" w:lineRule="exact"/>
        <w:ind w:firstLine="419"/>
      </w:pPr>
      <w:r>
        <w:rPr>
          <w:rFonts w:ascii="SimSun" w:hAnsi="SimSun" w:eastAsia="宋体"/>
          <w:sz w:val="24"/>
          <w:szCs w:val="24"/>
        </w:rPr>
        <w:t xml:space="preserve">现有融合算法中，权重配置存在两种常见方法：经验固定权重（缺点是缺乏理论依据，无法适应传感器性能退化）和等权平均（缺点是忽略不同传感器在不同缺陷类型上的固有性能差异）。</w:t>
      </w:r>
    </w:p>
    <w:bookmarkEnd w:id="35"/>
    <w:bookmarkStart w:id="36" w:name="自适应权重计算"/>
    <w:p>
      <w:pPr>
        <w:spacing w:before="160" w:after="80"/>
        <w:jc w:val="LEFT"/>
      </w:pPr>
      <w:r>
        <w:rPr>
          <w:rFonts w:ascii="SimHei" w:hAnsi="SimHei" w:eastAsia="黑体"/>
          <w:b/>
          <w:sz w:val="26"/>
          <w:szCs w:val="26"/>
        </w:rPr>
        <w:t xml:space="preserve">3.3.2 自适应权重计算</w:t>
      </w:r>
    </w:p>
    <w:p>
      <w:pPr>
        <w:spacing w:after="120" w:line="440" w:lineRule="exact"/>
        <w:ind w:firstLine="419"/>
      </w:pPr>
      <w:r>
        <w:rPr>
          <w:rFonts w:ascii="SimSun" w:hAnsi="SimSun" w:eastAsia="宋体"/>
          <w:sz w:val="24"/>
          <w:szCs w:val="24"/>
        </w:rPr>
        <w:t xml:space="preserve">本文提出基于检测可靠性因子的自适应权重计算方法，核心思想是：融合权重应由各维度检测器的实时可信度决定，可信度高的维度获得更大权重，可信度低的维度自动降低权重。</w:t>
      </w:r>
    </w:p>
    <w:p>
      <w:pPr>
        <w:spacing w:after="120" w:line="440" w:lineRule="exact"/>
        <w:ind w:firstLine="419"/>
      </w:pPr>
      <w:r>
        <w:rPr>
          <w:rFonts w:ascii="SimSun" w:hAnsi="SimSun" w:eastAsia="宋体"/>
          <w:sz w:val="24"/>
          <w:szCs w:val="24"/>
        </w:rPr>
        <w:t xml:space="preserve">定义各维度检测器在时刻的可靠性因子为：</w:t>
      </w:r>
    </w:p>
    <w:p>
      <w:pPr>
        <w:pStyle w:val="BodyText"/>
      </w:pPr>
      <m:oMathPara>
        <m:oMathParaPr>
          <m:jc m:val="center"/>
        </m:oMathParaPr>
        <m:oMath>
          <m:sSub>
            <m:e>
              <m:r>
                <m:t>r</m:t>
              </m:r>
            </m:e>
            <m:sub>
              <m:r>
                <m:t>d</m:t>
              </m:r>
            </m:sub>
          </m:sSub>
          <m:d>
            <m:dPr>
              <m:begChr m:val="("/>
              <m:endChr m:val=")"/>
              <m:sepChr m:val=""/>
              <m:grow/>
            </m:dPr>
            <m:e>
              <m:r>
                <m:t>k</m:t>
              </m:r>
            </m:e>
          </m:d>
          <m:r>
            <m:rPr>
              <m:sty m:val="p"/>
            </m:rPr>
            <m:t>=</m:t>
          </m:r>
          <m:f>
            <m:fPr>
              <m:type m:val="bar"/>
            </m:fPr>
            <m:num>
              <m:sSub>
                <m:e>
                  <m:r>
                    <m:t>C</m:t>
                  </m:r>
                </m:e>
                <m:sub>
                  <m:r>
                    <m:t>d</m:t>
                  </m:r>
                </m:sub>
              </m:sSub>
              <m:d>
                <m:dPr>
                  <m:begChr m:val="("/>
                  <m:endChr m:val=")"/>
                  <m:sepChr m:val=""/>
                  <m:grow/>
                </m:dPr>
                <m:e>
                  <m:r>
                    <m:t>k</m:t>
                  </m:r>
                </m:e>
              </m:d>
            </m:num>
            <m:den>
              <m:sSub>
                <m:e>
                  <m:r>
                    <m:t>σ</m:t>
                  </m:r>
                </m:e>
                <m:sub>
                  <m:r>
                    <m:t>d</m:t>
                  </m:r>
                </m:sub>
              </m:sSub>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其中，为维度置信度，为该维度置信度的滑动标准差（窗口宽度帧）。的物理含义是：置信度高且稳定的检测器，其可靠性因子大，应在融合中占据更大权重。</w:t>
      </w:r>
    </w:p>
    <w:p>
      <w:pPr>
        <w:spacing w:after="120" w:line="440" w:lineRule="exact"/>
        <w:ind w:firstLine="419"/>
      </w:pPr>
      <w:r>
        <w:rPr>
          <w:rFonts w:ascii="SimSun" w:hAnsi="SimSun" w:eastAsia="宋体"/>
          <w:sz w:val="24"/>
          <w:szCs w:val="24"/>
        </w:rPr>
        <w:t xml:space="preserve">各维度权重由可靠性归一化得到：</w:t>
      </w:r>
    </w:p>
    <w:p>
      <w:pPr>
        <w:pStyle w:val="BodyText"/>
      </w:pPr>
      <m:oMathPara>
        <m:oMathParaPr>
          <m:jc m:val="center"/>
        </m:oMathParaPr>
        <m:oMath>
          <m:sSub>
            <m:e>
              <m:r>
                <m:t>w</m:t>
              </m:r>
            </m:e>
            <m:sub>
              <m:r>
                <m:t>d</m:t>
              </m:r>
            </m:sub>
          </m:sSub>
          <m:d>
            <m:dPr>
              <m:begChr m:val="("/>
              <m:endChr m:val=")"/>
              <m:sepChr m:val=""/>
              <m:grow/>
            </m:dPr>
            <m:e>
              <m:r>
                <m:t>k</m:t>
              </m:r>
            </m:e>
          </m:d>
          <m:r>
            <m:rPr>
              <m:sty m:val="p"/>
            </m:rPr>
            <m:t>=</m:t>
          </m:r>
          <m:f>
            <m:fPr>
              <m:type m:val="bar"/>
            </m:fPr>
            <m:num>
              <m:sSub>
                <m:e>
                  <m:r>
                    <m:t>r</m:t>
                  </m:r>
                </m:e>
                <m:sub>
                  <m:r>
                    <m:t>d</m:t>
                  </m:r>
                </m:sub>
              </m:sSub>
              <m:d>
                <m:dPr>
                  <m:begChr m:val="("/>
                  <m:endChr m:val=")"/>
                  <m:sepChr m:val=""/>
                  <m:grow/>
                </m:dPr>
                <m:e>
                  <m:r>
                    <m:t>k</m:t>
                  </m:r>
                </m:e>
              </m:d>
            </m:num>
            <m:den>
              <m:nary>
                <m:naryPr>
                  <m:chr m:val="∑"/>
                  <m:limLoc m:val="undOvr"/>
                  <m:subHide m:val="off"/>
                  <m:supHide m:val="on"/>
                </m:naryPr>
                <m:sub>
                  <m:r>
                    <m:t>d</m:t>
                  </m:r>
                  <m:r>
                    <m:rPr>
                      <m:sty m:val="p"/>
                    </m:rPr>
                    <m:t>′</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r</m:t>
                      </m:r>
                    </m:e>
                    <m:sub>
                      <m:r>
                        <m:t>d</m:t>
                      </m:r>
                      <m:r>
                        <m:rPr>
                          <m:sty m:val="p"/>
                        </m:rPr>
                        <m:t>′</m:t>
                      </m:r>
                    </m:sub>
                  </m:sSub>
                </m:e>
              </m:nary>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显然，，权重始终归一化。</w:t>
      </w:r>
    </w:p>
    <w:bookmarkEnd w:id="36"/>
    <w:bookmarkStart w:id="37" w:name="融合置信度的几何平均计算"/>
    <w:p>
      <w:pPr>
        <w:spacing w:before="160" w:after="80"/>
        <w:jc w:val="LEFT"/>
      </w:pPr>
      <w:r>
        <w:rPr>
          <w:rFonts w:ascii="SimHei" w:hAnsi="SimHei" w:eastAsia="黑体"/>
          <w:b/>
          <w:sz w:val="26"/>
          <w:szCs w:val="26"/>
        </w:rPr>
        <w:t xml:space="preserve">3.3.3 融合置信度的几何平均计算</w:t>
      </w:r>
    </w:p>
    <w:p>
      <w:pPr>
        <w:spacing w:after="120" w:line="440" w:lineRule="exact"/>
        <w:ind w:firstLine="419"/>
      </w:pPr>
      <w:r>
        <w:rPr>
          <w:rFonts w:ascii="SimSun" w:hAnsi="SimSun" w:eastAsia="宋体"/>
          <w:sz w:val="24"/>
          <w:szCs w:val="24"/>
        </w:rPr>
        <w:t xml:space="preserve">融合置信度采用加权几何平均计算：</w:t>
      </w:r>
    </w:p>
    <w:p>
      <w:pPr>
        <w:pStyle w:val="BodyText"/>
      </w:pPr>
      <m:oMathPara>
        <m:oMathParaPr>
          <m:jc m:val="center"/>
        </m:oMathParaPr>
        <m:oMath>
          <m:sSub>
            <m:e>
              <m:r>
                <m:t>C</m:t>
              </m:r>
            </m:e>
            <m:sub>
              <m:r>
                <m:rPr>
                  <m:nor/>
                  <m:sty m:val="p"/>
                </m:rPr>
                <m:t>fusion</m:t>
              </m:r>
            </m:sub>
          </m:sSub>
          <m:d>
            <m:dPr>
              <m:begChr m:val="("/>
              <m:endChr m:val=")"/>
              <m:sepChr m:val=""/>
              <m:grow/>
            </m:dPr>
            <m:e>
              <m:r>
                <m:t>k</m:t>
              </m:r>
            </m:e>
          </m:d>
          <m:r>
            <m:rPr>
              <m:sty m:val="p"/>
            </m:rPr>
            <m:t>=</m:t>
          </m:r>
          <m:nary>
            <m:naryPr>
              <m:chr m:val="∏"/>
              <m:limLoc m:val="undOvr"/>
              <m:subHide m:val="off"/>
              <m:supHide m:val="on"/>
            </m:naryPr>
            <m:sub>
              <m:r>
                <m:t>d</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C</m:t>
                  </m:r>
                </m:e>
                <m:sub>
                  <m:r>
                    <m:t>d</m:t>
                  </m:r>
                </m:sub>
              </m:sSub>
            </m:e>
          </m:nary>
          <m:sSup>
            <m:e>
              <m:d>
                <m:dPr>
                  <m:begChr m:val="("/>
                  <m:endChr m:val=")"/>
                  <m:sepChr m:val=""/>
                  <m:grow/>
                </m:dPr>
                <m:e>
                  <m:r>
                    <m:t>k</m:t>
                  </m:r>
                </m:e>
              </m:d>
            </m:e>
            <m:sup>
              <m:sSub>
                <m:e>
                  <m:r>
                    <m:t>w</m:t>
                  </m:r>
                </m:e>
                <m:sub>
                  <m:r>
                    <m:t>d</m:t>
                  </m:r>
                </m:sub>
              </m:sSub>
              <m:d>
                <m:dPr>
                  <m:begChr m:val="("/>
                  <m:endChr m:val=")"/>
                  <m:sepChr m:val=""/>
                  <m:grow/>
                </m:dPr>
                <m:e>
                  <m:r>
                    <m:t>k</m:t>
                  </m:r>
                </m:e>
              </m:d>
            </m:sup>
          </m:sSup>
        </m:oMath>
      </m:oMathPara>
    </w:p>
    <w:p>
      <w:pPr>
        <w:spacing w:after="120" w:line="440" w:lineRule="exact"/>
        <w:ind w:firstLine="419"/>
      </w:pPr>
      <w:r>
        <w:rPr>
          <w:rFonts w:ascii="SimSun" w:hAnsi="SimSun" w:eastAsia="宋体"/>
          <w:sz w:val="24"/>
          <w:szCs w:val="24"/>
        </w:rPr>
        <w:t xml:space="preserve">几何平均的选择基于以下关键考虑：几何平均对单一低置信度具有放大效应——当任意时，。这意味着即使2D图像和3D点云都给出较高置信度，但若IMU检测到异常振动模式（表明该位置确实存在结构性问题），几何平均的乘积特性使最终置信度不会因某一维度的低值而虚高，有效防止误判在多维度间的传播。</w:t>
      </w:r>
    </w:p>
    <w:bookmarkEnd w:id="37"/>
    <w:bookmarkEnd w:id="38"/>
    <w:bookmarkStart w:id="42" w:name="高低检测双速ekf融合算法"/>
    <w:p>
      <w:pPr>
        <w:spacing w:before="160" w:after="80"/>
        <w:jc w:val="LEFT"/>
      </w:pPr>
      <w:r>
        <w:rPr>
          <w:rFonts w:ascii="SimHei" w:hAnsi="SimHei" w:eastAsia="黑体"/>
          <w:b/>
          <w:sz w:val="26"/>
          <w:szCs w:val="26"/>
        </w:rPr>
        <w:t xml:space="preserve">3.4 高低检测双速EKF融合算法</w:t>
      </w:r>
    </w:p>
    <w:bookmarkStart w:id="39" w:name="问题背景"/>
    <w:p>
      <w:pPr>
        <w:spacing w:before="160" w:after="80"/>
        <w:jc w:val="LEFT"/>
      </w:pPr>
      <w:r>
        <w:rPr>
          <w:rFonts w:ascii="SimHei" w:hAnsi="SimHei" w:eastAsia="黑体"/>
          <w:b/>
          <w:sz w:val="26"/>
          <w:szCs w:val="26"/>
        </w:rPr>
        <w:t xml:space="preserve">3.4.1 问题背景</w:t>
      </w:r>
    </w:p>
    <w:p>
      <w:pPr>
        <w:spacing w:after="120" w:line="440" w:lineRule="exact"/>
        <w:ind w:firstLine="419"/>
      </w:pPr>
      <w:r>
        <w:rPr>
          <w:rFonts w:ascii="SimSun" w:hAnsi="SimSun" w:eastAsia="宋体"/>
          <w:sz w:val="24"/>
          <w:szCs w:val="24"/>
        </w:rPr>
        <w:t xml:space="preserve">轨道高低不平顺的测量面临两个不同频带的物理过程：一是车体沿轨道行进时的高频振动（主要由轨道接缝和局部不平顺引起，频带约0~20 Hz），二是轨道高程本身的缓慢变化（由线路沉降和基础变形引起，频带&lt;1 Hz）。两类过程的频谱在0.1~1 Hz区间存在部分重叠。</w:t>
      </w:r>
    </w:p>
    <w:p>
      <w:pPr>
        <w:spacing w:after="120" w:line="440" w:lineRule="exact"/>
        <w:ind w:firstLine="419"/>
      </w:pPr>
      <w:r>
        <w:rPr>
          <w:rFonts w:ascii="SimSun" w:hAnsi="SimSun" w:eastAsia="宋体"/>
          <w:sz w:val="24"/>
          <w:szCs w:val="24"/>
        </w:rPr>
        <w:t xml:space="preserve">单一采样率的滤波器无法同时满足两类过程的测量需求：高频采样可以精确重建车体振动信号，但轨道高程估计被高频噪声污染；低频采样可以得到平滑的轨道高程输出，但无法准确估计车体振动，进而无法有效分离两类过程。</w:t>
      </w:r>
    </w:p>
    <w:bookmarkEnd w:id="39"/>
    <w:bookmarkStart w:id="40" w:name="双速架构设计"/>
    <w:p>
      <w:pPr>
        <w:spacing w:before="160" w:after="80"/>
        <w:jc w:val="LEFT"/>
      </w:pPr>
      <w:r>
        <w:rPr>
          <w:rFonts w:ascii="SimHei" w:hAnsi="SimHei" w:eastAsia="黑体"/>
          <w:b/>
          <w:sz w:val="26"/>
          <w:szCs w:val="26"/>
        </w:rPr>
        <w:t xml:space="preserve">3.4.2 双速架构设计</w:t>
      </w:r>
    </w:p>
    <w:p>
      <w:pPr>
        <w:spacing w:after="120" w:line="440" w:lineRule="exact"/>
        <w:ind w:firstLine="419"/>
      </w:pPr>
      <w:r>
        <w:rPr>
          <w:rFonts w:ascii="SimSun" w:hAnsi="SimSun" w:eastAsia="宋体"/>
          <w:sz w:val="24"/>
          <w:szCs w:val="24"/>
        </w:rPr>
        <w:t xml:space="preserve">本文设计双速EKF融合架构，分别处理两个不同频带的物理过程：</w:t>
      </w:r>
    </w:p>
    <w:p>
      <w:pPr>
        <w:spacing w:after="120" w:line="440" w:lineRule="exact"/>
        <w:ind w:firstLine="419"/>
      </w:pPr>
      <w:r>
        <w:rPr>
          <w:rFonts w:ascii="SimSun" w:hAnsi="SimSun" w:eastAsia="宋体"/>
          <w:sz w:val="24"/>
          <w:szCs w:val="24"/>
        </w:rPr>
        <w:t xml:space="preserve">快回路（200Hz）：利用HWT905姿态传感器（200Hz采样）的横滚角和俯仰角数据，实时估计并补偿车体的高频振动。快回路响应时间，满足车体振动的实时校正需求。</w:t>
      </w:r>
    </w:p>
    <w:p>
      <w:pPr>
        <w:spacing w:after="120" w:line="440" w:lineRule="exact"/>
        <w:ind w:firstLine="419"/>
      </w:pPr>
      <w:r>
        <w:rPr>
          <w:rFonts w:ascii="SimSun" w:hAnsi="SimSun" w:eastAsia="宋体"/>
          <w:sz w:val="24"/>
          <w:szCs w:val="24"/>
        </w:rPr>
        <w:t xml:space="preserve">慢回路（10Hz）：基于单点测距传感器（2000Hz采样）累积数据，估计轨道高程真值。慢回路状态向量为：</w:t>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rPr>
                          <m:nor/>
                          <m:sty m:val="p"/>
                        </m:rPr>
                        <m:t>track</m:t>
                      </m:r>
                    </m:sub>
                  </m:sSub>
                  <m:d>
                    <m:dPr>
                      <m:begChr m:val="("/>
                      <m:endChr m:val=")"/>
                      <m:sepChr m:val=""/>
                      <m:grow/>
                    </m:dPr>
                    <m:e>
                      <m:r>
                        <m:t>k</m:t>
                      </m:r>
                    </m:e>
                  </m:d>
                  <m:r>
                    <m:rPr>
                      <m:sty m:val="p"/>
                    </m:rPr>
                    <m:t>,</m:t>
                  </m:r>
                  <m:r>
                    <m:t> </m:t>
                  </m:r>
                  <m:sSub>
                    <m:e>
                      <m:r>
                        <m:t>h</m:t>
                      </m:r>
                    </m:e>
                    <m:sub>
                      <m:r>
                        <m:rPr>
                          <m:nor/>
                          <m:sty m:val="p"/>
                        </m:rPr>
                        <m:t>veh</m:t>
                      </m:r>
                    </m:sub>
                  </m:sSub>
                  <m:d>
                    <m:dPr>
                      <m:begChr m:val="("/>
                      <m:endChr m:val=")"/>
                      <m:sepChr m:val=""/>
                      <m:grow/>
                    </m:dPr>
                    <m:e>
                      <m:r>
                        <m:t>k</m:t>
                      </m:r>
                    </m:e>
                  </m:d>
                  <m:r>
                    <m:rPr>
                      <m:sty m:val="p"/>
                    </m:rPr>
                    <m:t>,</m:t>
                  </m:r>
                  <m:r>
                    <m:t> </m:t>
                  </m:r>
                  <m:sSub>
                    <m:e>
                      <m:r>
                        <m:t>v</m:t>
                      </m:r>
                    </m:e>
                    <m:sub>
                      <m:r>
                        <m:rPr>
                          <m:nor/>
                          <m:sty m:val="p"/>
                        </m:rPr>
                        <m:t>veh</m:t>
                      </m:r>
                    </m:sub>
                  </m:sSub>
                  <m:d>
                    <m:dPr>
                      <m:begChr m:val="("/>
                      <m:endChr m:val=")"/>
                      <m:sepChr m:val=""/>
                      <m:grow/>
                    </m:dPr>
                    <m:e>
                      <m:r>
                        <m:t>k</m:t>
                      </m:r>
                    </m:e>
                  </m:d>
                </m:e>
              </m:d>
            </m:e>
            <m:sup>
              <m:r>
                <m:t>T</m:t>
              </m:r>
            </m:sup>
          </m:sSup>
        </m:oMath>
      </m:oMathPara>
    </w:p>
    <w:p>
      <w:pPr>
        <w:spacing w:after="120" w:line="440" w:lineRule="exact"/>
        <w:ind w:firstLine="419"/>
      </w:pPr>
      <w:r>
        <w:rPr>
          <w:rFonts w:ascii="SimSun" w:hAnsi="SimSun" w:eastAsia="宋体"/>
          <w:sz w:val="24"/>
          <w:szCs w:val="24"/>
        </w:rPr>
        <w:t xml:space="preserve">其中，为轨道高程（待估计真值），为车体相对轨道的高差，为车体垂向速度。</w:t>
      </w:r>
    </w:p>
    <w:p>
      <w:pPr>
        <w:spacing w:after="120" w:line="440" w:lineRule="exact"/>
        <w:ind w:firstLine="419"/>
      </w:pPr>
      <w:r>
        <w:rPr>
          <w:rFonts w:ascii="SimSun" w:hAnsi="SimSun" w:eastAsia="宋体"/>
          <w:sz w:val="24"/>
          <w:szCs w:val="24"/>
        </w:rPr>
        <w:t xml:space="preserve">慢回路观测方程为：</w:t>
      </w:r>
    </w:p>
    <w:p>
      <w:pPr>
        <w:pStyle w:val="BodyText"/>
      </w:pPr>
      <m:oMathPara>
        <m:oMathParaPr>
          <m:jc m:val="center"/>
        </m:oMathParaPr>
        <m:oMath>
          <m:sSub>
            <m:e>
              <m:r>
                <m:t>z</m:t>
              </m:r>
            </m:e>
            <m:sub>
              <m:r>
                <m:t>k</m:t>
              </m:r>
            </m:sub>
          </m:sSub>
          <m:r>
            <m:rPr>
              <m:sty m:val="p"/>
            </m:rPr>
            <m:t>=</m:t>
          </m:r>
          <m:sSub>
            <m:e>
              <m:r>
                <m:t>d</m:t>
              </m:r>
            </m:e>
            <m:sub>
              <m:r>
                <m:rPr>
                  <m:nor/>
                  <m:sty m:val="p"/>
                </m:rPr>
                <m:t>测</m:t>
              </m:r>
            </m:sub>
          </m:sSub>
          <m:d>
            <m:dPr>
              <m:begChr m:val="("/>
              <m:endChr m:val=")"/>
              <m:sepChr m:val=""/>
              <m:grow/>
            </m:dPr>
            <m:e>
              <m:r>
                <m:t>k</m:t>
              </m:r>
            </m:e>
          </m:d>
          <m:r>
            <m:rPr>
              <m:sty m:val="p"/>
            </m:rPr>
            <m:t>=</m:t>
          </m:r>
          <m:r>
            <m:t>H</m:t>
          </m:r>
          <m:r>
            <m:rPr>
              <m:sty m:val="p"/>
            </m:rPr>
            <m:t>+</m:t>
          </m:r>
          <m:sSub>
            <m:e>
              <m:r>
                <m:t>h</m:t>
              </m:r>
            </m:e>
            <m:sub>
              <m:r>
                <m:rPr>
                  <m:nor/>
                  <m:sty m:val="p"/>
                </m:rPr>
                <m:t>veh</m:t>
              </m:r>
            </m:sub>
          </m:sSub>
          <m:d>
            <m:dPr>
              <m:begChr m:val="("/>
              <m:endChr m:val=")"/>
              <m:sepChr m:val=""/>
              <m:grow/>
            </m:dPr>
            <m:e>
              <m:r>
                <m:t>k</m:t>
              </m:r>
            </m:e>
          </m:d>
          <m:r>
            <m:rPr>
              <m:sty m:val="p"/>
            </m:rPr>
            <m:t>−</m:t>
          </m:r>
          <m:sSub>
            <m:e>
              <m:r>
                <m:t>h</m:t>
              </m:r>
            </m:e>
            <m:sub>
              <m:r>
                <m:rPr>
                  <m:nor/>
                  <m:sty m:val="p"/>
                </m:rPr>
                <m:t>track</m:t>
              </m:r>
            </m:sub>
          </m:sSub>
          <m:d>
            <m:dPr>
              <m:begChr m:val="("/>
              <m:endChr m:val=")"/>
              <m:sepChr m:val=""/>
              <m:grow/>
            </m:dPr>
            <m:e>
              <m:r>
                <m:t>k</m:t>
              </m:r>
            </m:e>
          </m:d>
          <m:r>
            <m:rPr>
              <m:sty m:val="p"/>
            </m:rPr>
            <m:t>+</m:t>
          </m:r>
          <m:sSub>
            <m:e>
              <m:r>
                <m:t>v</m:t>
              </m:r>
            </m:e>
            <m:sub>
              <m:r>
                <m:t>k</m:t>
              </m:r>
            </m:sub>
          </m:sSub>
        </m:oMath>
      </m:oMathPara>
    </w:p>
    <w:p>
      <w:pPr>
        <w:spacing w:after="120" w:line="440" w:lineRule="exact"/>
        <w:ind w:firstLine="419"/>
      </w:pPr>
      <w:r>
        <w:rPr>
          <w:rFonts w:ascii="SimSun" w:hAnsi="SimSun" w:eastAsia="宋体"/>
          <w:sz w:val="24"/>
          <w:szCs w:val="24"/>
        </w:rPr>
        <w:t xml:space="preserve">其中，为传感器安装高度（约180mm），为观测噪声。慢回路输出频率10Hz与轨道高程变化带宽（&lt;1Hz）匹配，避免了高频振动噪声混入轨道高程估计结果。</w:t>
      </w:r>
    </w:p>
    <w:bookmarkEnd w:id="40"/>
    <w:bookmarkStart w:id="41" w:name="双速解耦的理论依据"/>
    <w:p>
      <w:pPr>
        <w:spacing w:before="160" w:after="80"/>
        <w:jc w:val="LEFT"/>
      </w:pPr>
      <w:r>
        <w:rPr>
          <w:rFonts w:ascii="SimHei" w:hAnsi="SimHei" w:eastAsia="黑体"/>
          <w:b/>
          <w:sz w:val="26"/>
          <w:szCs w:val="26"/>
        </w:rPr>
        <w:t xml:space="preserve">3.4.3 双速解耦的理论依据</w:t>
      </w:r>
    </w:p>
    <w:p>
      <w:pPr>
        <w:spacing w:after="120" w:line="440" w:lineRule="exact"/>
        <w:ind w:firstLine="419"/>
      </w:pPr>
      <w:r>
        <w:rPr>
          <w:rFonts w:ascii="SimSun" w:hAnsi="SimSun" w:eastAsia="宋体"/>
          <w:sz w:val="24"/>
          <w:szCs w:val="24"/>
        </w:rPr>
        <w:t xml:space="preserve">快慢回路的频率分离设计满足采样定理和系统带宽匹配两个约束：轨道高程变化上限&lt;1Hz，慢回路10Hz满足奈奎斯特采样率（）；车体振动频率上限≈20Hz，快回路200Hz满足奈奎斯特采样率；两回路中心频率比值20:1，在频域上完全解耦，无混叠效应。</w:t>
      </w:r>
    </w:p>
    <w:bookmarkEnd w:id="41"/>
    <w:bookmarkEnd w:id="42"/>
    <w:bookmarkEnd w:id="43"/>
    <w:bookmarkStart w:id="51" w:name="第4章-视觉检测方法"/>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bookmarkStart w:id="47" w:name="基于yolov8m的轨面缺陷检测"/>
    <w:p>
      <w:pPr>
        <w:spacing w:before="160" w:after="80"/>
        <w:jc w:val="LEFT"/>
      </w:pPr>
      <w:r>
        <w:rPr>
          <w:rFonts w:ascii="SimHei" w:hAnsi="SimHei" w:eastAsia="黑体"/>
          <w:b/>
          <w:sz w:val="26"/>
          <w:szCs w:val="26"/>
        </w:rPr>
        <w:t xml:space="preserve">4.1 基于YOLOv8m的轨面缺陷检测</w:t>
      </w:r>
    </w:p>
    <w:bookmarkStart w:id="44" w:name="模型选型"/>
    <w:p>
      <w:pPr>
        <w:spacing w:before="160" w:after="80"/>
        <w:jc w:val="LEFT"/>
      </w:pPr>
      <w:r>
        <w:rPr>
          <w:rFonts w:ascii="SimHei" w:hAnsi="SimHei" w:eastAsia="黑体"/>
          <w:b/>
          <w:sz w:val="26"/>
          <w:szCs w:val="26"/>
        </w:rPr>
        <w:t xml:space="preserve">4.1.1 模型选型</w:t>
      </w:r>
    </w:p>
    <w:p>
      <w:pPr>
        <w:spacing w:after="120" w:line="440" w:lineRule="exact"/>
        <w:ind w:firstLine="419"/>
      </w:pPr>
      <w:r>
        <w:rPr>
          <w:rFonts w:ascii="SimSun" w:hAnsi="SimSun" w:eastAsia="宋体"/>
          <w:sz w:val="24"/>
          <w:szCs w:val="24"/>
        </w:rPr>
        <w:t xml:space="preserve">目标检测算法在铁路检测领域已有较多应用。YOLO系列因其推理速度与检测精度兼顾的特性，成为实时检测的主流选择。相比更小规模的YOLOv8n，YOLOv8m具有更强的特征提取能力；相比更大规模的YOLOv8l，YOLOv8m具有更合理的算力消耗，在Jetson AGX Orin平台上可实现25fps实时推理（TensorRT INT8量化后时延约24ms）。</w:t>
      </w:r>
    </w:p>
    <w:bookmarkEnd w:id="44"/>
    <w:bookmarkStart w:id="45" w:name="模型训练与量化"/>
    <w:p>
      <w:pPr>
        <w:spacing w:before="160" w:after="80"/>
        <w:jc w:val="LEFT"/>
      </w:pPr>
      <w:r>
        <w:rPr>
          <w:rFonts w:ascii="SimHei" w:hAnsi="SimHei" w:eastAsia="黑体"/>
          <w:b/>
          <w:sz w:val="26"/>
          <w:szCs w:val="26"/>
        </w:rPr>
        <w:t xml:space="preserve">4.1.2 模型训练与量化</w:t>
      </w:r>
    </w:p>
    <w:p>
      <w:pPr>
        <w:spacing w:after="120" w:line="440" w:lineRule="exact"/>
        <w:ind w:firstLine="419"/>
      </w:pPr>
      <w:r>
        <w:rPr>
          <w:rFonts w:ascii="SimSun" w:hAnsi="SimSun" w:eastAsia="宋体"/>
          <w:sz w:val="24"/>
          <w:szCs w:val="24"/>
        </w:rPr>
        <w:t xml:space="preserve">模型训练采用迁移学习方法，以COCO预训练权重为初始化参数，在自建轨面缺陷数据集（5000张标注图像，裂纹:掉块:凹陷=3000:1200:800）上微调50epoch，batch size=16，初始学习率0.001，余弦退火学习率调度。</w:t>
      </w:r>
    </w:p>
    <w:p>
      <w:pPr>
        <w:spacing w:after="120" w:line="440" w:lineRule="exact"/>
        <w:ind w:firstLine="419"/>
      </w:pPr>
      <w:r>
        <w:rPr>
          <w:rFonts w:ascii="SimSun" w:hAnsi="SimSun" w:eastAsia="宋体"/>
          <w:sz w:val="24"/>
          <w:szCs w:val="24"/>
        </w:rPr>
        <w:t xml:space="preserve">训练完成后使用TensorRT进行INT8量化。量化校准数据集选取500张典型图像（覆盖各类光照和工况），保证量化后精度损失小于0.5%。</w:t>
      </w:r>
    </w:p>
    <w:bookmarkEnd w:id="45"/>
    <w:bookmarkStart w:id="46" w:name="后处理与坐标变换"/>
    <w:p>
      <w:pPr>
        <w:spacing w:before="160" w:after="80"/>
        <w:jc w:val="LEFT"/>
      </w:pPr>
      <w:r>
        <w:rPr>
          <w:rFonts w:ascii="SimHei" w:hAnsi="SimHei" w:eastAsia="黑体"/>
          <w:b/>
          <w:sz w:val="26"/>
          <w:szCs w:val="26"/>
        </w:rPr>
        <w:t xml:space="preserve">4.1.3 后处理与坐标变换</w:t>
      </w:r>
    </w:p>
    <w:p>
      <w:pPr>
        <w:spacing w:after="120" w:line="440" w:lineRule="exact"/>
        <w:ind w:firstLine="419"/>
      </w:pPr>
      <w:r>
        <w:rPr>
          <w:rFonts w:ascii="SimSun" w:hAnsi="SimSun" w:eastAsia="宋体"/>
          <w:sz w:val="24"/>
          <w:szCs w:val="24"/>
        </w:rPr>
        <w:t xml:space="preserve">YOLOv8m输出缺陷类别、边界框和置信度。后处理阶段将检测框坐标转换至轨道坐标系（考虑相机外参和车体姿态角），输出缺陷的里程坐标、类型和置信度。置信度低于0.5的检测结果直接丢弃，0.5~0.7的进入人工复核队列，高于0.7的进入融合判定流程。</w:t>
      </w:r>
    </w:p>
    <w:bookmarkEnd w:id="46"/>
    <w:bookmarkEnd w:id="47"/>
    <w:bookmarkStart w:id="48" w:name="基于传统图像处理的道钉螺栓检测"/>
    <w:p>
      <w:pPr>
        <w:spacing w:before="160" w:after="80"/>
        <w:jc w:val="LEFT"/>
      </w:pPr>
      <w:r>
        <w:rPr>
          <w:rFonts w:ascii="SimHei" w:hAnsi="SimHei" w:eastAsia="黑体"/>
          <w:b/>
          <w:sz w:val="26"/>
          <w:szCs w:val="26"/>
        </w:rPr>
        <w:t xml:space="preserve">4.2 基于传统图像处理的道钉/螺栓检测</w:t>
      </w:r>
    </w:p>
    <w:p>
      <w:pPr>
        <w:spacing w:after="120" w:line="440" w:lineRule="exact"/>
        <w:ind w:firstLine="419"/>
      </w:pPr>
      <w:r>
        <w:rPr>
          <w:rFonts w:ascii="SimSun" w:hAnsi="SimSun" w:eastAsia="宋体"/>
          <w:sz w:val="24"/>
          <w:szCs w:val="24"/>
        </w:rPr>
        <w:t xml:space="preserve">道钉/螺栓松动检测采用ZNCC（归一化零均值互相关）模板匹配方法。模板库预先采集标准道钉/螺栓图像作为基准，实时图像与模板做ZNCC计算：</w:t>
      </w:r>
    </w:p>
    <w:p>
      <w:pPr>
        <w:pStyle w:val="BodyText"/>
      </w:pPr>
      <m:oMathPara>
        <m:oMathParaPr>
          <m:jc m:val="center"/>
        </m:oMathParaPr>
        <m:oMath>
          <m:r>
            <m:rPr>
              <m:nor/>
              <m:sty m:val="p"/>
            </m:rPr>
            <m:t>ZNCC</m:t>
          </m:r>
          <m:r>
            <m:rPr>
              <m:sty m:val="p"/>
            </m:rPr>
            <m:t>=</m:t>
          </m:r>
          <m:f>
            <m:fPr>
              <m:type m:val="bar"/>
            </m:fPr>
            <m:num>
              <m:nary>
                <m:naryPr>
                  <m:chr m:val="∑"/>
                  <m:limLoc m:val="undOvr"/>
                  <m:subHide m:val="off"/>
                  <m:supHide m:val="on"/>
                </m:naryPr>
                <m:sub>
                  <m:r>
                    <m:t>i</m:t>
                  </m:r>
                  <m:r>
                    <m:rPr>
                      <m:sty m:val="p"/>
                    </m:rPr>
                    <m:t>,</m:t>
                  </m:r>
                  <m:r>
                    <m:t>j</m:t>
                  </m:r>
                </m:sub>
                <m:sup>
                  <m:r>
                    <m:t>​</m:t>
                  </m:r>
                </m:sup>
                <m:e>
                  <m:d>
                    <m:dPr>
                      <m:begChr m:val="("/>
                      <m:endChr m:val=")"/>
                      <m:sepChr m:val=""/>
                      <m:grow/>
                    </m:dPr>
                    <m:e>
                      <m:sSub>
                        <m:e>
                          <m:r>
                            <m:t>I</m:t>
                          </m:r>
                        </m:e>
                        <m:sub>
                          <m:r>
                            <m:t>i</m:t>
                          </m:r>
                          <m:r>
                            <m:t>j</m:t>
                          </m:r>
                        </m:sub>
                      </m:sSub>
                      <m:r>
                        <m:rPr>
                          <m:sty m:val="p"/>
                        </m:rPr>
                        <m:t>−</m:t>
                      </m:r>
                      <m:acc>
                        <m:accPr>
                          <m:chr m:val="‾"/>
                        </m:accPr>
                        <m:e>
                          <m:r>
                            <m:t>I</m:t>
                          </m:r>
                        </m:e>
                      </m:acc>
                    </m:e>
                  </m:d>
                </m:e>
              </m:nary>
              <m:d>
                <m:dPr>
                  <m:begChr m:val="("/>
                  <m:endChr m:val=")"/>
                  <m:sepChr m:val=""/>
                  <m:grow/>
                </m:dPr>
                <m:e>
                  <m:sSub>
                    <m:e>
                      <m:r>
                        <m:t>T</m:t>
                      </m:r>
                    </m:e>
                    <m:sub>
                      <m:r>
                        <m:t>i</m:t>
                      </m:r>
                      <m:r>
                        <m:t>j</m:t>
                      </m:r>
                    </m:sub>
                  </m:sSub>
                  <m:r>
                    <m:rPr>
                      <m:sty m:val="p"/>
                    </m:rPr>
                    <m:t>−</m:t>
                  </m:r>
                  <m:acc>
                    <m:accPr>
                      <m:chr m:val="‾"/>
                    </m:accPr>
                    <m:e>
                      <m:r>
                        <m:t>T</m:t>
                      </m:r>
                    </m:e>
                  </m:acc>
                </m:e>
              </m:d>
            </m:num>
            <m:den>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I</m:t>
                                  </m:r>
                                </m:e>
                                <m:sub>
                                  <m:r>
                                    <m:t>i</m:t>
                                  </m:r>
                                  <m:r>
                                    <m:t>j</m:t>
                                  </m:r>
                                </m:sub>
                              </m:sSub>
                              <m:r>
                                <m:rPr>
                                  <m:sty m:val="p"/>
                                </m:rPr>
                                <m:t>−</m:t>
                              </m:r>
                              <m:acc>
                                <m:accPr>
                                  <m:chr m:val="‾"/>
                                </m:accPr>
                                <m:e>
                                  <m:r>
                                    <m:t>I</m:t>
                                  </m:r>
                                </m:e>
                              </m:acc>
                            </m:e>
                          </m:d>
                        </m:e>
                        <m:sup>
                          <m:r>
                            <m:t>2</m:t>
                          </m:r>
                        </m:sup>
                      </m:sSup>
                    </m:e>
                  </m:nary>
                </m:e>
              </m:rad>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T</m:t>
                                  </m:r>
                                </m:e>
                                <m:sub>
                                  <m:r>
                                    <m:t>i</m:t>
                                  </m:r>
                                  <m:r>
                                    <m:t>j</m:t>
                                  </m:r>
                                </m:sub>
                              </m:sSub>
                              <m:r>
                                <m:rPr>
                                  <m:sty m:val="p"/>
                                </m:rPr>
                                <m:t>−</m:t>
                              </m:r>
                              <m:acc>
                                <m:accPr>
                                  <m:chr m:val="‾"/>
                                </m:accPr>
                                <m:e>
                                  <m:r>
                                    <m:t>T</m:t>
                                  </m:r>
                                </m:e>
                              </m:acc>
                            </m:e>
                          </m:d>
                        </m:e>
                        <m:sup>
                          <m:r>
                            <m:t>2</m:t>
                          </m:r>
                        </m:sup>
                      </m:sSup>
                    </m:e>
                  </m:nary>
                </m:e>
              </m:rad>
            </m:den>
          </m:f>
        </m:oMath>
      </m:oMathPara>
    </w:p>
    <w:p>
      <w:pPr>
        <w:spacing w:after="120" w:line="440" w:lineRule="exact"/>
        <w:ind w:firstLine="419"/>
      </w:pPr>
      <w:r>
        <w:rPr>
          <w:rFonts w:ascii="SimSun" w:hAnsi="SimSun" w:eastAsia="宋体"/>
          <w:sz w:val="24"/>
          <w:szCs w:val="24"/>
        </w:rPr>
        <w:t xml:space="preserve">ZNCC越接近1表示匹配度越高。当ZNCC低于设定阈值时，判定为缺失或松动。检测算法还利用700mm节距先验进行时序序列分析：若相邻两螺栓间距满足且轮廓特征正常则判定为正常；若超出容差带且轮廓面积异常则判定为缺失/松动；若轴比偏离均值&gt;15%则判定为歪斜。</w:t>
      </w:r>
    </w:p>
    <w:bookmarkEnd w:id="48"/>
    <w:bookmarkStart w:id="49" w:name="基于opencv的焊缝缺陷检测"/>
    <w:p>
      <w:pPr>
        <w:spacing w:before="160" w:after="80"/>
        <w:jc w:val="LEFT"/>
      </w:pPr>
      <w:r>
        <w:rPr>
          <w:rFonts w:ascii="SimHei" w:hAnsi="SimHei" w:eastAsia="黑体"/>
          <w:b/>
          <w:sz w:val="26"/>
          <w:szCs w:val="26"/>
        </w:rPr>
        <w:t xml:space="preserve">4.3 基于OpenCV的焊缝缺陷检测</w:t>
      </w:r>
    </w:p>
    <w:p>
      <w:pPr>
        <w:spacing w:after="120" w:line="440" w:lineRule="exact"/>
        <w:ind w:firstLine="419"/>
      </w:pPr>
      <w:r>
        <w:rPr>
          <w:rFonts w:ascii="SimSun" w:hAnsi="SimSun" w:eastAsia="宋体"/>
          <w:sz w:val="24"/>
          <w:szCs w:val="24"/>
        </w:rPr>
        <w:t xml:space="preserve">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bookmarkEnd w:id="49"/>
    <w:bookmarkStart w:id="50" w:name="深度学习与传统算法的互补性"/>
    <w:p>
      <w:pPr>
        <w:spacing w:before="160" w:after="80"/>
        <w:jc w:val="LEFT"/>
      </w:pPr>
      <w:r>
        <w:rPr>
          <w:rFonts w:ascii="SimHei" w:hAnsi="SimHei" w:eastAsia="黑体"/>
          <w:b/>
          <w:sz w:val="26"/>
          <w:szCs w:val="26"/>
        </w:rPr>
        <w:t xml:space="preserve">4.4 深度学习与传统算法的互补性</w:t>
      </w:r>
    </w:p>
    <w:p>
      <w:pPr>
        <w:spacing w:after="120" w:line="440" w:lineRule="exact"/>
        <w:ind w:firstLine="419"/>
      </w:pPr>
      <w:r>
        <w:rPr>
          <w:rFonts w:ascii="SimSun" w:hAnsi="SimSun" w:eastAsia="宋体"/>
          <w:sz w:val="24"/>
          <w:szCs w:val="24"/>
        </w:rPr>
        <w:t xml:space="preserve">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bookmarkEnd w:id="50"/>
    <w:bookmarkEnd w:id="51"/>
    <w:bookmarkStart w:id="58" w:name="第5章-实验验证与结果分析"/>
    <w:p>
      <w:pPr>
        <w:spacing w:before="280" w:after="120"/>
        <w:jc w:val="CENTER"/>
      </w:pPr>
      <w:r>
        <w:rPr>
          <w:rFonts w:ascii="SimHei" w:hAnsi="SimHei" w:eastAsia="黑体"/>
          <w:b/>
          <w:sz w:val="32"/>
          <w:szCs w:val="32"/>
        </w:rPr>
        <w:t xml:space="preserve">第5章 实验验证与结果分析</w:t>
      </w:r>
    </w:p>
    <w:bookmarkStart w:id="52" w:name="时空对齐精度验证"/>
    <w:p>
      <w:pPr>
        <w:spacing w:before="160" w:after="80"/>
        <w:jc w:val="LEFT"/>
      </w:pPr>
      <w:r>
        <w:rPr>
          <w:rFonts w:ascii="SimHei" w:hAnsi="SimHei" w:eastAsia="黑体"/>
          <w:b/>
          <w:sz w:val="26"/>
          <w:szCs w:val="26"/>
        </w:rPr>
        <w:t xml:space="preserve">5.1 时空对齐精度验证</w:t>
      </w:r>
    </w:p>
    <w:p>
      <w:pPr>
        <w:spacing w:after="120" w:line="440" w:lineRule="exact"/>
        <w:ind w:firstLine="419"/>
      </w:pPr>
      <w:r>
        <w:rPr>
          <w:rFonts w:ascii="SimSun" w:hAnsi="SimSun" w:eastAsia="宋体"/>
          <w:sz w:val="24"/>
          <w:szCs w:val="24"/>
        </w:rPr>
        <w:t xml:space="preserve">时空对齐精度是影响融合判定可靠性的基础因素。实验设计：在直线段上每隔10m布设光学标记点（已知精确三维坐标），对比传统方案（里程近似对齐）与本文三键索引方案在相同数据帧上的空间偏差。</w:t>
      </w:r>
    </w:p>
    <w:p>
      <w:pPr>
        <w:spacing w:after="120" w:line="440" w:lineRule="exact"/>
        <w:ind w:firstLine="419"/>
      </w:pPr>
      <w:r>
        <w:rPr>
          <w:rFonts w:ascii="SimSun" w:hAnsi="SimSun" w:eastAsia="宋体"/>
          <w:sz w:val="24"/>
          <w:szCs w:val="24"/>
        </w:rPr>
        <w:t xml:space="preserve">实验结果：传统方案平均空间偏差12.7mm，最大偏差28.3mm；本文方案平均偏差3.2mm，最大偏差6.1mm，偏差降低74.7%。传统方案有23%的测试点偏差超过15mm，而本文方案98%的测试点偏差控制在5mm以内。</w:t>
      </w:r>
    </w:p>
    <w:bookmarkEnd w:id="52"/>
    <w:bookmarkStart w:id="53" w:name="几何参数检测精度验证"/>
    <w:p>
      <w:pPr>
        <w:spacing w:before="160" w:after="80"/>
        <w:jc w:val="LEFT"/>
      </w:pPr>
      <w:r>
        <w:rPr>
          <w:rFonts w:ascii="SimHei" w:hAnsi="SimHei" w:eastAsia="黑体"/>
          <w:b/>
          <w:sz w:val="26"/>
          <w:szCs w:val="26"/>
        </w:rPr>
        <w:t xml:space="preserve">5.2 几何参数检测精度验证</w:t>
      </w:r>
    </w:p>
    <w:p>
      <w:pPr>
        <w:spacing w:after="120" w:line="440" w:lineRule="exact"/>
        <w:ind w:firstLine="419"/>
      </w:pPr>
      <w:r>
        <w:rPr>
          <w:rFonts w:ascii="SimSun" w:hAnsi="SimSun" w:eastAsia="宋体"/>
          <w:sz w:val="24"/>
          <w:szCs w:val="24"/>
        </w:rPr>
        <w:t xml:space="preserve">轨距检测：沿测试线路布设50个标准轨距测量基准点，系统测量值与基准值逐点比对。50个测试点误差分布：均值0.08mm，标准差0.21mm，最大偏差0.28mm，全部在规范允许的±0.3mm范围以内。曲线段专项验证（5个不同半径）表明，测距传感器矩阵直接测量方案在曲线条件下仍保持稳定精度，不受横滚角影响。</w:t>
      </w:r>
    </w:p>
    <w:p>
      <w:pPr>
        <w:spacing w:after="120" w:line="440" w:lineRule="exact"/>
        <w:ind w:firstLine="419"/>
      </w:pPr>
      <w:r>
        <w:rPr>
          <w:rFonts w:ascii="SimSun" w:hAnsi="SimSun" w:eastAsia="宋体"/>
          <w:sz w:val="24"/>
          <w:szCs w:val="24"/>
        </w:rPr>
        <w:t xml:space="preserve">水平检测：选取含已知超高值的曲线段开展验证。HWT905横滚角直接计算超高差，与基准超高差逐点比对。在不同曲线半径条件下，水平检测误差均小于0.4mm，满足规范要求。</w:t>
      </w:r>
    </w:p>
    <w:p>
      <w:pPr>
        <w:spacing w:after="120" w:line="440" w:lineRule="exact"/>
        <w:ind w:firstLine="419"/>
      </w:pPr>
      <w:r>
        <w:rPr>
          <w:rFonts w:ascii="SimSun" w:hAnsi="SimSun" w:eastAsia="宋体"/>
          <w:sz w:val="24"/>
          <w:szCs w:val="24"/>
        </w:rPr>
        <w:t xml:space="preserve">高低检测：在含明显高低不平顺特征的区段（由轨道检查车历史数据标定），分别用单速EKF和双速EKF进行对比测量。单速EKF输出标准差0.67mm，有明显振动噪声残留；双速EKF输出标准差0.31mm，振动抑制使测量噪声降低53.7%，验证了快慢双速架构对振动与高程信号解耦的有效性。</w:t>
      </w:r>
    </w:p>
    <w:bookmarkEnd w:id="53"/>
    <w:bookmarkStart w:id="54" w:name="视觉缺陷检测精度验证"/>
    <w:p>
      <w:pPr>
        <w:spacing w:before="160" w:after="80"/>
        <w:jc w:val="LEFT"/>
      </w:pPr>
      <w:r>
        <w:rPr>
          <w:rFonts w:ascii="SimHei" w:hAnsi="SimHei" w:eastAsia="黑体"/>
          <w:b/>
          <w:sz w:val="26"/>
          <w:szCs w:val="26"/>
        </w:rPr>
        <w:t xml:space="preserve">5.3 视觉缺陷检测精度验证</w:t>
      </w:r>
    </w:p>
    <w:p>
      <w:pPr>
        <w:spacing w:after="120" w:line="440" w:lineRule="exact"/>
        <w:ind w:firstLine="419"/>
      </w:pPr>
      <w:r>
        <w:rPr>
          <w:rFonts w:ascii="SimSun" w:hAnsi="SimSun" w:eastAsia="宋体"/>
          <w:sz w:val="24"/>
          <w:szCs w:val="24"/>
        </w:rPr>
        <w:t xml:space="preserve">轨面缺陷检测：采集1000帧现场图像（由两名经验丰富的工务人员共同标注作为Ground Truth），YOLOv8m检测结果：mAP@0.5达92.5%，召回率89.7%，精确率93.1%。与Faster R-CNN基准方案（mAP@0.5=87.3%）相比提升5.2个百分点；与标准YOLOv8m（mAP@0.5=89.3%）相比提升3.2个百分点。</w:t>
      </w:r>
    </w:p>
    <w:p>
      <w:pPr>
        <w:spacing w:after="120" w:line="440" w:lineRule="exact"/>
        <w:ind w:firstLine="419"/>
      </w:pPr>
      <w:r>
        <w:rPr>
          <w:rFonts w:ascii="SimSun" w:hAnsi="SimSun" w:eastAsia="宋体"/>
          <w:sz w:val="24"/>
          <w:szCs w:val="24"/>
        </w:rPr>
        <w:t xml:space="preserve">道钉/螺栓状态检测：ZNCC模板匹配方法在包含2000个道钉/螺栓的测试集上验证，缺失检出率97.2%，松动检出率94.8%，误报率低于2.1%。低光照条件下，通过自适应补光调节，检出率下降不超过3个百分点。</w:t>
      </w:r>
    </w:p>
    <w:bookmarkEnd w:id="54"/>
    <w:bookmarkStart w:id="55" w:name="自适应融合算法验证"/>
    <w:p>
      <w:pPr>
        <w:spacing w:before="160" w:after="80"/>
        <w:jc w:val="LEFT"/>
      </w:pPr>
      <w:r>
        <w:rPr>
          <w:rFonts w:ascii="SimHei" w:hAnsi="SimHei" w:eastAsia="黑体"/>
          <w:b/>
          <w:sz w:val="26"/>
          <w:szCs w:val="26"/>
        </w:rPr>
        <w:t xml:space="preserve">5.4 自适应融合算法验证</w:t>
      </w:r>
    </w:p>
    <w:p>
      <w:pPr>
        <w:spacing w:after="120" w:line="440" w:lineRule="exact"/>
        <w:ind w:firstLine="419"/>
      </w:pPr>
      <w:r>
        <w:rPr>
          <w:rFonts w:ascii="SimSun" w:hAnsi="SimSun" w:eastAsia="宋体"/>
          <w:sz w:val="24"/>
          <w:szCs w:val="24"/>
        </w:rPr>
        <w:t xml:space="preserve">验证集设计：构建包含1000个缺陷样本的验证集，样本涵盖不同缺陷类型（视觉缺陷+几何参数超限）、不同严重等级（1~4级）和不同环境条件（晴天/雨天/夜间）。</w:t>
      </w:r>
    </w:p>
    <w:p>
      <w:pPr>
        <w:spacing w:after="120" w:line="440" w:lineRule="exact"/>
        <w:ind w:firstLine="419"/>
      </w:pPr>
      <w:r>
        <w:rPr>
          <w:rFonts w:ascii="SimSun" w:hAnsi="SimSun" w:eastAsia="宋体"/>
          <w:sz w:val="24"/>
          <w:szCs w:val="24"/>
        </w:rPr>
        <w:t xml:space="preserve">融合判定准确率对比：固定权重融合准确率95.1%；本文自适应动态加权融合准确率97.5%，提升2.4个百分点。</w:t>
      </w:r>
    </w:p>
    <w:p>
      <w:pPr>
        <w:spacing w:after="120" w:line="440" w:lineRule="exact"/>
        <w:ind w:firstLine="419"/>
      </w:pPr>
      <w:r>
        <w:rPr>
          <w:rFonts w:ascii="SimSun" w:hAnsi="SimSun" w:eastAsia="宋体"/>
          <w:sz w:val="24"/>
          <w:szCs w:val="24"/>
        </w:rPr>
        <w:t xml:space="preserve">传感器性能退化鲁棒性测试：向验证集随机注入20%测量噪声（模拟传感器老化），自适应方案准确率保持96.1%（仅下降1.4个百分点），而固定权重方案下降至91.3%（下降3.8个百分点）。结果证明，自适应权重机制在传感器性能退化场景下具有明显的鲁棒性优势。</w:t>
      </w:r>
    </w:p>
    <w:bookmarkEnd w:id="55"/>
    <w:bookmarkStart w:id="56" w:name="综合性能对比"/>
    <w:p>
      <w:pPr>
        <w:spacing w:before="160" w:after="80"/>
        <w:jc w:val="LEFT"/>
      </w:pPr>
      <w:r>
        <w:rPr>
          <w:rFonts w:ascii="SimHei" w:hAnsi="SimHei" w:eastAsia="黑体"/>
          <w:b/>
          <w:sz w:val="26"/>
          <w:szCs w:val="26"/>
        </w:rPr>
        <w:t xml:space="preserve">5.5 综合性能对比</w:t>
      </w:r>
    </w:p>
    <w:p>
      <w:pPr>
        <w:spacing w:after="120" w:line="440" w:lineRule="exact"/>
        <w:ind w:firstLine="419"/>
      </w:pPr>
      <w:r>
        <w:rPr>
          <w:rFonts w:ascii="SimSun" w:hAnsi="SimSun" w:eastAsia="宋体"/>
          <w:sz w:val="24"/>
          <w:szCs w:val="24"/>
        </w:rPr>
        <w:t xml:space="preserve">综合对比本文方法与现有主流方案：传统单功能专用设备组合方案需要多次出车才能完成全线8项检测，单次全线检测耗时约3人·天；传统融合方案时空对齐精度有限（平均偏差12.7mm），融合判定准确率受限且无自适应能力；本文方案单次出车覆盖全部8项检测功能，时空对齐精度提高74.7%，融合判定准确率97.5%，且具备传感器退化自适应能力，综合性能具有明显优势。</w:t>
      </w:r>
    </w:p>
    <w:bookmarkEnd w:id="56"/>
    <w:bookmarkStart w:id="57" w:name="系统稳定性"/>
    <w:p>
      <w:pPr>
        <w:spacing w:before="160" w:after="80"/>
        <w:jc w:val="LEFT"/>
      </w:pPr>
      <w:r>
        <w:rPr>
          <w:rFonts w:ascii="SimHei" w:hAnsi="SimHei" w:eastAsia="黑体"/>
          <w:b/>
          <w:sz w:val="26"/>
          <w:szCs w:val="26"/>
        </w:rPr>
        <w:t xml:space="preserve">5.6 系统稳定性</w:t>
      </w:r>
    </w:p>
    <w:p>
      <w:pPr>
        <w:spacing w:after="120" w:line="440" w:lineRule="exact"/>
        <w:ind w:firstLine="419"/>
      </w:pPr>
      <w:r>
        <w:rPr>
          <w:rFonts w:ascii="SimSun" w:hAnsi="SimSun" w:eastAsia="宋体"/>
          <w:sz w:val="24"/>
          <w:szCs w:val="24"/>
        </w:rPr>
        <w:t xml:space="preserve">系统在120km累计测试里程中未发生任何导致检测中断的硬件故障。工控机运行稳定，相机和激光传感器在IP67防护等级保障下未出现性能下降。供电系统全程运行在安全温度区间内，三网通信在整个测试周期内保持稳定。</w:t>
      </w:r>
    </w:p>
    <w:bookmarkEnd w:id="57"/>
    <w:bookmarkEnd w:id="58"/>
    <w:bookmarkStart w:id="62" w:name="第6章-讨论"/>
    <w:p>
      <w:pPr>
        <w:spacing w:before="280" w:after="120"/>
        <w:jc w:val="CENTER"/>
      </w:pPr>
      <w:r>
        <w:rPr>
          <w:rFonts w:ascii="SimHei" w:hAnsi="SimHei" w:eastAsia="黑体"/>
          <w:b/>
          <w:sz w:val="32"/>
          <w:szCs w:val="32"/>
        </w:rPr>
        <w:t xml:space="preserve">第6章 讨论</w:t>
      </w:r>
    </w:p>
    <w:bookmarkStart w:id="59" w:name="方法分析"/>
    <w:p>
      <w:pPr>
        <w:spacing w:before="160" w:after="80"/>
        <w:jc w:val="LEFT"/>
      </w:pPr>
      <w:r>
        <w:rPr>
          <w:rFonts w:ascii="SimHei" w:hAnsi="SimHei" w:eastAsia="黑体"/>
          <w:b/>
          <w:sz w:val="26"/>
          <w:szCs w:val="26"/>
        </w:rPr>
        <w:t xml:space="preserve">6.1 方法分析</w:t>
      </w:r>
    </w:p>
    <w:p>
      <w:pPr>
        <w:spacing w:after="120" w:line="440" w:lineRule="exact"/>
        <w:ind w:firstLine="419"/>
      </w:pPr>
      <w:r>
        <w:rPr>
          <w:rFonts w:ascii="SimSun" w:hAnsi="SimSun" w:eastAsia="宋体"/>
          <w:sz w:val="24"/>
          <w:szCs w:val="24"/>
        </w:rPr>
        <w:t xml:space="preserve">本文提出的三键索引时空对齐机制，从系统架构层面解决了多源异构数据的时间对齐和空间关联问题。与传统方案相比，该机制的核心优势在于：帧编号作为融合主键，将多传感器的帧边界在硬件层面严格对齐，无需依赖近似插值或时间窗口近似，为后续特征级融合奠定了数据基础。实验结果表明，该机制将空间对齐精度从厘米级提升至亚毫米级，降低74.7%。</w:t>
      </w:r>
    </w:p>
    <w:p>
      <w:pPr>
        <w:spacing w:after="120" w:line="440" w:lineRule="exact"/>
        <w:ind w:firstLine="419"/>
      </w:pPr>
      <w:r>
        <w:rPr>
          <w:rFonts w:ascii="SimSun" w:hAnsi="SimSun" w:eastAsia="宋体"/>
          <w:sz w:val="24"/>
          <w:szCs w:val="24"/>
        </w:rPr>
        <w:t xml:space="preserve">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w:t>
      </w:r>
    </w:p>
    <w:p>
      <w:pPr>
        <w:spacing w:after="120" w:line="440" w:lineRule="exact"/>
        <w:ind w:firstLine="419"/>
      </w:pPr>
      <w:r>
        <w:rPr>
          <w:rFonts w:ascii="SimSun" w:hAnsi="SimSun" w:eastAsia="宋体"/>
          <w:sz w:val="24"/>
          <w:szCs w:val="24"/>
        </w:rPr>
        <w:t xml:space="preserve">双速EKF融合架构的设计逻辑源于对物理过程的精确分析：轨道高程变化（&lt;1Hz）与车体振动（0~20Hz）在频域上可解耦的前提是采样频率满足奈奎斯特条件且两频带中心频率比足够大（本文为20:1）。这一设计思路可推广至其他涉及多频带信号分离的工程问题。</w:t>
      </w:r>
    </w:p>
    <w:bookmarkEnd w:id="59"/>
    <w:bookmarkStart w:id="60" w:name="研究局限性"/>
    <w:p>
      <w:pPr>
        <w:spacing w:before="160" w:after="80"/>
        <w:jc w:val="LEFT"/>
      </w:pPr>
      <w:r>
        <w:rPr>
          <w:rFonts w:ascii="SimHei" w:hAnsi="SimHei" w:eastAsia="黑体"/>
          <w:b/>
          <w:sz w:val="26"/>
          <w:szCs w:val="26"/>
        </w:rPr>
        <w:t xml:space="preserve">6.2 研究局限性</w:t>
      </w:r>
    </w:p>
    <w:p>
      <w:pPr>
        <w:spacing w:after="120" w:line="440" w:lineRule="exact"/>
        <w:ind w:firstLine="419"/>
      </w:pPr>
      <w:r>
        <w:rPr>
          <w:rFonts w:ascii="SimSun" w:hAnsi="SimSun" w:eastAsia="宋体"/>
          <w:sz w:val="24"/>
          <w:szCs w:val="24"/>
        </w:rPr>
        <w:t xml:space="preserve">本文方法存在以下局限：</w:t>
      </w:r>
    </w:p>
    <w:p>
      <w:pPr>
        <w:spacing w:after="120" w:line="440" w:lineRule="exact"/>
        <w:ind w:firstLine="419"/>
      </w:pPr>
      <w:r>
        <w:rPr>
          <w:rFonts w:ascii="SimSun" w:hAnsi="SimSun" w:eastAsia="宋体"/>
          <w:sz w:val="24"/>
          <w:szCs w:val="24"/>
        </w:rPr>
        <w:t xml:space="preserve">（1）波磨检测中1m≤λ&lt;10m波段存在频谱重叠。 轨道高程变化与车体振动的频谱在0.1~1Hz区间部分重叠，EKF协方差偏大，对该波段波磨的量化精度有限。未来可研究基于频域分离的改进算法。</w:t>
      </w:r>
    </w:p>
    <w:p>
      <w:pPr>
        <w:spacing w:after="120" w:line="440" w:lineRule="exact"/>
        <w:ind w:firstLine="419"/>
      </w:pPr>
      <w:r>
        <w:rPr>
          <w:rFonts w:ascii="SimSun" w:hAnsi="SimSun" w:eastAsia="宋体"/>
          <w:sz w:val="24"/>
          <w:szCs w:val="24"/>
        </w:rPr>
        <w:t xml:space="preserve">（2）夜间视觉检测性能有待验证。 本文实验在白天光照条件下开展。夜间或隧道内的视觉检测性能（包括补光策略、检测模型的光照适应性等）尚待进一步研究。</w:t>
      </w:r>
    </w:p>
    <w:p>
      <w:pPr>
        <w:spacing w:after="120" w:line="440" w:lineRule="exact"/>
        <w:ind w:firstLine="419"/>
      </w:pPr>
      <w:r>
        <w:rPr>
          <w:rFonts w:ascii="SimSun" w:hAnsi="SimSun" w:eastAsia="宋体"/>
          <w:sz w:val="24"/>
          <w:szCs w:val="24"/>
        </w:rPr>
        <w:t xml:space="preserve">（3）系统目前不支持轨向检测功能。 轨向（方向不平顺）是轨道几何状态的重要组成部分，本文方法尚未覆盖，该功能将在后续研究中补充。</w:t>
      </w:r>
    </w:p>
    <w:bookmarkEnd w:id="60"/>
    <w:bookmarkStart w:id="61" w:name="未来研究方向"/>
    <w:p>
      <w:pPr>
        <w:spacing w:before="160" w:after="80"/>
        <w:jc w:val="LEFT"/>
      </w:pPr>
      <w:r>
        <w:rPr>
          <w:rFonts w:ascii="SimHei" w:hAnsi="SimHei" w:eastAsia="黑体"/>
          <w:b/>
          <w:sz w:val="26"/>
          <w:szCs w:val="26"/>
        </w:rPr>
        <w:t xml:space="preserve">6.3 传感器可靠性评估方法</w:t>
      </w:r>
    </w:p>
    <w:p>
      <w:pPr>
        <w:spacing w:after="120" w:line="440" w:lineRule="exact"/>
        <w:ind w:firstLine="419"/>
      </w:pPr>
      <w:r>
        <w:rPr>
          <w:rFonts w:ascii="SimSun" w:hAnsi="SimSun" w:eastAsia="宋体"/>
          <w:sz w:val="24"/>
          <w:szCs w:val="24"/>
        </w:rPr>
        <w:t xml:space="preserve">传感器测量数据的可靠性是融合结果正确性的前提条件。本文提出基于多维度统计特征的传感器可靠性评估方法，通过实时监测数据质量指标实现传感器健康状态的在线感知。</w:t>
      </w:r>
    </w:p>
    <w:p>
      <w:pPr>
        <w:spacing w:after="120" w:line="440" w:lineRule="exact"/>
        <w:ind w:firstLine="419"/>
      </w:pPr>
      <w:r>
        <w:rPr>
          <w:rFonts w:ascii="SimSun" w:hAnsi="SimSun" w:eastAsia="宋体"/>
          <w:sz w:val="24"/>
          <w:szCs w:val="24"/>
        </w:rPr>
        <w:t xml:space="preserve">可靠性评估从数据质量、时序一致性、环境适应性三个维度展开。</w:t>
      </w:r>
    </w:p>
    <w:p>
      <w:pPr>
        <w:spacing w:after="120" w:line="440" w:lineRule="exact"/>
        <w:ind w:firstLine="419"/>
      </w:pPr>
      <w:r>
        <w:rPr>
          <w:rFonts w:ascii="SimSun" w:hAnsi="SimSun" w:eastAsia="宋体"/>
          <w:sz w:val="24"/>
          <w:szCs w:val="24"/>
        </w:rPr>
        <w:t xml:space="preserve">（1）数据质量维度：评估传感器输出数据的完整性、有效性和一致性。通过计算连续帧间的统计特征（均值、方差、峰值）检测异常值，通过与历史基线的对比识别传感器性能退化趋势。</w:t>
      </w:r>
    </w:p>
    <w:p>
      <w:pPr>
        <w:spacing w:after="120" w:line="440" w:lineRule="exact"/>
        <w:ind w:firstLine="419"/>
      </w:pPr>
      <w:r>
        <w:rPr>
          <w:rFonts w:ascii="SimSun" w:hAnsi="SimSun" w:eastAsia="宋体"/>
          <w:sz w:val="24"/>
          <w:szCs w:val="24"/>
        </w:rPr>
        <w:t xml:space="preserve">（2）时序一致性维度：基于PTP时钟同步机制监测各传感器时间戳的一致性，通过帧丢失率统计评估数据传输链路的可靠性。当检测到时钟偏差超出阈值或帧丢失率异常升高时，表明传感器或其通信链路存在可靠性问题。</w:t>
      </w:r>
    </w:p>
    <w:p>
      <w:pPr>
        <w:spacing w:after="120" w:line="440" w:lineRule="exact"/>
        <w:ind w:firstLine="419"/>
      </w:pPr>
      <w:r>
        <w:rPr>
          <w:rFonts w:ascii="SimSun" w:hAnsi="SimSun" w:eastAsia="宋体"/>
          <w:sz w:val="24"/>
          <w:szCs w:val="24"/>
        </w:rPr>
        <w:t xml:space="preserve">（3）环境适应性维度：监测传感器工作温度、供电电压等环境参数，当环境条件超出设计工作范围时触发可靠性预警。该维度评估传感器在极端工况下的性能稳定性。</w:t>
      </w:r>
    </w:p>
    <w:p>
      <w:pPr>
        <w:spacing w:after="120" w:line="440" w:lineRule="exact"/>
        <w:ind w:firstLine="419"/>
      </w:pPr>
      <w:r>
        <w:rPr>
          <w:rFonts w:ascii="SimSun" w:hAnsi="SimSun" w:eastAsia="宋体"/>
          <w:sz w:val="24"/>
          <w:szCs w:val="24"/>
        </w:rPr>
        <w:t xml:space="preserve">基于上述三维度评估结果，计算传感器综合可靠性指数ρ∈[0,1]，用于自适应融合算法中动态调整该传感器通道的融合权重。当ρ&lt;0.5时，表明该传感器可靠性显著下降，需人工介入检查。</w:t>
      </w:r>
    </w:p>
    <w:p>
      <w:pPr>
        <w:spacing w:before="160" w:after="80"/>
        <w:jc w:val="LEFT"/>
      </w:pPr>
      <w:r>
        <w:rPr>
          <w:rFonts w:ascii="SimHei" w:hAnsi="SimHei" w:eastAsia="黑体"/>
          <w:b/>
          <w:sz w:val="26"/>
          <w:szCs w:val="26"/>
        </w:rPr>
        <w:t xml:space="preserve">6.4 系统容错与异常检测策略</w:t>
      </w:r>
    </w:p>
    <w:p>
      <w:pPr>
        <w:spacing w:after="120" w:line="440" w:lineRule="exact"/>
        <w:ind w:firstLine="419"/>
      </w:pPr>
      <w:r>
        <w:rPr>
          <w:rFonts w:ascii="SimSun" w:hAnsi="SimSun" w:eastAsia="宋体"/>
          <w:sz w:val="24"/>
          <w:szCs w:val="24"/>
        </w:rPr>
        <w:t xml:space="preserve">实际工程应用中，传感器故障和环境干扰不可避免。本文设计基于可靠性评估的动态降级策略，实现系统在部分传感器失效情况下的持续运行能力。</w:t>
      </w:r>
    </w:p>
    <w:p>
      <w:pPr>
        <w:spacing w:after="120" w:line="440" w:lineRule="exact"/>
        <w:ind w:firstLine="419"/>
      </w:pPr>
      <w:r>
        <w:rPr>
          <w:rFonts w:ascii="SimSun" w:hAnsi="SimSun" w:eastAsia="宋体"/>
          <w:sz w:val="24"/>
          <w:szCs w:val="24"/>
        </w:rPr>
        <w:t xml:space="preserve">（1）软故障容错：当传感器可靠性指数ρ低于阈值（0.5&lt;ρ&lt;0.8）时，融合算法自动降低该通道权重，同时标记对应区段的检测结果为“待复核”状态，提示后续人工核查，但不影响系统继续检测任务。</w:t>
      </w:r>
    </w:p>
    <w:p>
      <w:pPr>
        <w:spacing w:after="120" w:line="440" w:lineRule="exact"/>
        <w:ind w:firstLine="419"/>
      </w:pPr>
      <w:r>
        <w:rPr>
          <w:rFonts w:ascii="SimSun" w:hAnsi="SimSun" w:eastAsia="宋体"/>
          <w:sz w:val="24"/>
          <w:szCs w:val="24"/>
        </w:rPr>
        <w:t xml:space="preserve">（2）硬故障处理：当传感器完全失效（ρ&lt;0.1或数据完全丢失）时，系统立即切换至降级运行模式。该模式下，仅使用正常工作的传感器通道继续检测，检测结果标注“降级运行”标识，提示用户该区段检测功能不完整。同时记录故障日志并通知维护人员。</w:t>
      </w:r>
    </w:p>
    <w:p>
      <w:pPr>
        <w:spacing w:after="120" w:line="440" w:lineRule="exact"/>
        <w:ind w:firstLine="419"/>
      </w:pPr>
      <w:r>
        <w:rPr>
          <w:rFonts w:ascii="SimSun" w:hAnsi="SimSun" w:eastAsia="宋体"/>
          <w:sz w:val="24"/>
          <w:szCs w:val="24"/>
        </w:rPr>
        <w:t xml:space="preserve">（3）异常检测与恢复：系统持续监测传感器可靠性指数的变化趋势。当检测到ρ从低值快速回升时（可能指示瞬时干扰恢复），自动发起传感器重检流程，验证其真实工作状态，避免因瞬时噪声导致的误判切换。</w:t>
      </w:r>
    </w:p>
    <w:p>
      <w:pPr>
        <w:spacing w:before="160" w:after="80"/>
        <w:jc w:val="LEFT"/>
      </w:pPr>
      <w:r>
        <w:rPr>
          <w:rFonts w:ascii="SimHei" w:hAnsi="SimHei" w:eastAsia="黑体"/>
          <w:b/>
          <w:sz w:val="26"/>
          <w:szCs w:val="26"/>
        </w:rPr>
        <w:t xml:space="preserve">6.5 未来研究方向</w:t>
      </w:r>
    </w:p>
    <w:p>
      <w:pPr>
        <w:spacing w:after="120" w:line="440" w:lineRule="exact"/>
        <w:ind w:firstLine="419"/>
      </w:pPr>
      <w:r>
        <w:rPr>
          <w:rFonts w:ascii="SimSun" w:hAnsi="SimSun" w:eastAsia="宋体"/>
          <w:sz w:val="24"/>
          <w:szCs w:val="24"/>
        </w:rPr>
        <w:t xml:space="preserve">（1）引入深度学习姿态估计方法。 深度网络可从数据中学习复杂工况下的姿态-里程映射关系，有望进一步提升复杂工况（弯道、坡道）下的时空对齐精度。</w:t>
      </w:r>
    </w:p>
    <w:p>
      <w:pPr>
        <w:spacing w:after="120" w:line="440" w:lineRule="exact"/>
        <w:ind w:firstLine="419"/>
      </w:pPr>
      <w:r>
        <w:rPr>
          <w:rFonts w:ascii="SimSun" w:hAnsi="SimSun" w:eastAsia="宋体"/>
          <w:sz w:val="24"/>
          <w:szCs w:val="24"/>
        </w:rPr>
        <w:t xml:space="preserve">（2）扩展至更多检测功能。 研究面向钢轨探伤（超声检测）、隧道衬砌检测等更多功能的传感器融合方案，进一步提升系统的综合检测能力。</w:t>
      </w:r>
    </w:p>
    <w:p>
      <w:pPr>
        <w:spacing w:after="120" w:line="440" w:lineRule="exact"/>
        <w:ind w:firstLine="419"/>
      </w:pPr>
      <w:r>
        <w:rPr>
          <w:rFonts w:ascii="SimSun" w:hAnsi="SimSun" w:eastAsia="宋体"/>
          <w:sz w:val="24"/>
          <w:szCs w:val="24"/>
        </w:rPr>
        <w:t xml:space="preserve">（3）轨道健康趋势预测。 结合大数据平台积累的历史检测数据，研究基于时序分析的轨道健康趋势预测方法，从”发现病害”向”预测病害”演进，实现从事后维修到事前预防的范式转变。</w:t>
      </w:r>
    </w:p>
    <w:p>
      <w:pPr>
        <w:spacing w:after="120" w:line="440" w:lineRule="exact"/>
        <w:ind w:firstLine="419"/>
      </w:pPr>
      <w:r>
        <w:rPr>
          <w:rFonts w:ascii="SimSun" w:hAnsi="SimSun" w:eastAsia="宋体"/>
          <w:sz w:val="24"/>
          <w:szCs w:val="24"/>
        </w:rPr>
        <w:t xml:space="preserve">（4）轻量化与边缘部署。 探索轻量化模型和边缘计算优化，使系统可在更低算力的嵌入式平台上部署运行，降低硬件成本，推动技术的广泛推广。</w:t>
      </w:r>
    </w:p>
    <w:bookmarkEnd w:id="61"/>
    <w:bookmarkEnd w:id="62"/>
    <w:bookmarkStart w:id="63" w:name="第7章-结论"/>
    <w:p>
      <w:pPr>
        <w:spacing w:before="280" w:after="120"/>
        <w:jc w:val="CENTER"/>
      </w:pPr>
      <w:r>
        <w:rPr>
          <w:rFonts w:ascii="SimHei" w:hAnsi="SimHei" w:eastAsia="黑体"/>
          <w:b/>
          <w:sz w:val="32"/>
          <w:szCs w:val="32"/>
        </w:rPr>
        <w:t xml:space="preserve">第7章 结论</w:t>
      </w:r>
    </w:p>
    <w:p>
      <w:pPr>
        <w:spacing w:after="120" w:line="440" w:lineRule="exact"/>
        <w:ind w:firstLine="419"/>
      </w:pPr>
      <w:r>
        <w:rPr>
          <w:rFonts w:ascii="SimSun" w:hAnsi="SimSun" w:eastAsia="宋体"/>
          <w:sz w:val="24"/>
          <w:szCs w:val="24"/>
        </w:rPr>
        <w:t xml:space="preserve">本文围绕”统一时空基准下的多源异构数据深度融合”这一核心问题，面向铁路线路综合检测场景，从时空对齐机制、融合判定算法、视觉检测方法三个层面开展了系统性研究。主要工作和贡献包括：</w:t>
      </w:r>
    </w:p>
    <w:p>
      <w:pPr>
        <w:spacing w:after="120" w:line="440" w:lineRule="exact"/>
        <w:ind w:firstLine="419"/>
      </w:pPr>
      <w:r>
        <w:rPr>
          <w:rFonts w:ascii="SimSun" w:hAnsi="SimSun" w:eastAsia="宋体"/>
          <w:sz w:val="24"/>
          <w:szCs w:val="24"/>
        </w:rPr>
        <w:t xml:space="preserve">（1）提出了基于”帧编号—里程坐标—UTC时间戳”三键索引的时空对齐机制。 该机制将多传感器空间对齐精度从传统方案的厘米级提升至亚毫米级（平均偏差3.2mm，降低74.7%），从根本上消除了里程近似对齐引入的空间错位误差，为多源数据精确融合判定奠定了数据基础。</w:t>
      </w:r>
    </w:p>
    <w:p>
      <w:pPr>
        <w:spacing w:after="120" w:line="440" w:lineRule="exact"/>
        <w:ind w:firstLine="419"/>
      </w:pPr>
      <w:r>
        <w:rPr>
          <w:rFonts w:ascii="SimSun" w:hAnsi="SimSun" w:eastAsia="宋体"/>
          <w:sz w:val="24"/>
          <w:szCs w:val="24"/>
        </w:rPr>
        <w:t xml:space="preserve">（2）提出了基于检测可靠性因子的自适应动态加权几何平均融合算法。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且在传感器性能退化场景下展现出显著鲁棒性（准确率仅下降1.4%）。</w:t>
      </w:r>
    </w:p>
    <w:p>
      <w:pPr>
        <w:spacing w:after="120" w:line="440" w:lineRule="exact"/>
        <w:ind w:firstLine="419"/>
      </w:pPr>
      <w:r>
        <w:rPr>
          <w:rFonts w:ascii="SimSun" w:hAnsi="SimSun" w:eastAsia="宋体"/>
          <w:sz w:val="24"/>
          <w:szCs w:val="24"/>
        </w:rPr>
        <w:t xml:space="preserve">（3）设计并实现了面向铁路线路综合检测的快慢双速EKF融合架构。 针对轨道高程估计与车体振动抑制这两个不同频带的物理过程，采用中心频率比20:1的双回路EKF架构，实现了频域解耦，高低不平顺测量精度优于±0.5mm，满足《铁路线路修理规范》要求。</w:t>
      </w:r>
    </w:p>
    <w:p>
      <w:pPr>
        <w:spacing w:after="120" w:line="440" w:lineRule="exact"/>
        <w:ind w:firstLine="419"/>
      </w:pPr>
      <w:r>
        <w:rPr>
          <w:rFonts w:ascii="SimSun" w:hAnsi="SimSun" w:eastAsia="宋体"/>
          <w:sz w:val="24"/>
          <w:szCs w:val="24"/>
        </w:rPr>
        <w:t xml:space="preserve">（4）搭建了完整的铁路线路综合检测系统，在实际线路上累计完成120km以上的系统性验证。 涵盖直线段、曲线段、桥梁过渡段、道岔区域四类典型场景，覆盖8项检测功能，验证了本文方法在实际复杂环境下的有效性和系统稳定性。</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2026-04-27T21:52:09Z</dcterms:created>
  <dcterms:modified xsi:type="dcterms:W3CDTF">2026-04-27T21:52:09Z</dcterms:modified>
</cp:coreProperties>
</file>

<file path=docProps/custom.xml><?xml version="1.0" encoding="utf-8"?>
<Properties xmlns="http://schemas.openxmlformats.org/officeDocument/2006/custom-properties" xmlns:vt="http://schemas.openxmlformats.org/officeDocument/2006/docPropsVTypes"/>
</file>