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480" w:after="240"/>
        <w:jc w:val="CENTER"/>
      </w:pPr>
      <w:r>
        <w:rPr>
          <w:rFonts w:ascii="SimHei" w:hAnsi="SimHei" w:eastAsia="黑体"/>
          <w:b/>
          <w:sz w:val="36"/>
          <w:szCs w:val="36"/>
        </w:rPr>
        <w:t xml:space="preserve">面向铁路线路的智能视觉与多模态感知融合综合检测系统研究与实现</w:t>
      </w:r>
    </w:p>
    <w:bookmarkStart w:id="24" w:name="第1章-绪论"/>
    <w:p>
      <w:pPr>
        <w:jc w:val="center"/>
        <w:spacing w:after="60"/>
      </w:pPr>
      <w:r>
        <w:rPr>
          <w:rFonts w:ascii="SimSun" w:hAnsi="SimSun" w:eastAsia="宋体"/>
          <w:sz w:val="21"/>
          <w:szCs w:val="21"/>
        </w:rPr>
        <w:t xml:space="preserve">张三1,2，李四1,2，王五1,2</w:t>
      </w:r>
    </w:p>
    <w:p>
      <w:pPr>
        <w:jc w:val="center"/>
        <w:spacing w:after="60"/>
      </w:pPr>
      <w:r>
        <w:rPr>
          <w:rFonts w:ascii="SimSun" w:hAnsi="SimSun" w:eastAsia="宋体"/>
          <w:sz w:val="21"/>
          <w:szCs w:val="21"/>
        </w:rPr>
        <w:t xml:space="preserve">1. 济南铁路局科研所，山东 济南 250000</w:t>
      </w:r>
    </w:p>
    <w:p>
      <w:pPr>
        <w:jc w:val="center"/>
        <w:spacing w:after="60"/>
      </w:pPr>
      <w:r>
        <w:rPr>
          <w:rFonts w:ascii="SimSun" w:hAnsi="SimSun" w:eastAsia="宋体"/>
          <w:sz w:val="21"/>
          <w:szCs w:val="21"/>
        </w:rPr>
        <w:t xml:space="preserve">2. 济南华升信息科技有限公司，山东 济南 250000</w:t>
      </w:r>
    </w:p>
    <w:p>
      <w:pPr>
        <w:spacing w:before="240" w:after="120"/>
        <w:jc w:val="CENTER"/>
      </w:pPr>
      <w:r>
        <w:rPr>
          <w:rFonts w:ascii="SimHei" w:hAnsi="SimHei" w:eastAsia="黑体"/>
          <w:sz w:val="28"/>
          <w:szCs w:val="28"/>
          <w:b/>
        </w:rPr>
        <w:t xml:space="preserve">摘  要</w:t>
      </w:r>
    </w:p>
    <w:p>
      <w:pPr>
        <w:spacing w:before="0" w:after="0" w:line="440" w:lineRule="exact"/>
        <w:ind w:firstLine="419"/>
      </w:pPr>
      <w:r>
        <w:rPr>
          <w:rFonts w:ascii="SimSun" w:hAnsi="SimSun" w:eastAsia="宋体"/>
          <w:sz w:val="24"/>
          <w:szCs w:val="24"/>
        </w:rPr>
        <w:t xml:space="preserve">铁路线路综合检测面临多源异构数据时空基准不统一、融合权重缺乏自适应能力的核心挑战。本文提出统一时空基准下的多源异构数据深度融合方法，主要贡献包括：提出基于帧编号—里程坐标—UTC时间戳的三键索引时空对齐机制，将空间对齐精度从厘米级提升至亚毫米级（平均偏差3.2mm，降低74.7%）；提出基于检测可靠性因子的自适应动态加权几何平均融合算法，融合判定准确率达97.5%；设计快慢双速EKF融合架构，实现轨道高程与车体振动的频域解耦，高低不平顺测量精度优于±0.5mm。在济南铁路局管内实际线路120km以上的系统性验证表明，单台设备单次出行覆盖全部8项检测功能，方法有效且系统稳定。</w:t>
      </w:r>
    </w:p>
    <w:p>
      <w:pPr>
        <w:spacing w:before="80" w:after="160"/>
        <w:jc w:val="LEFT"/>
      </w:pPr>
      <w:r>
        <w:rPr>
          <w:rFonts w:ascii="SimHei" w:hAnsi="SimHei" w:eastAsia="黑体"/>
          <w:sz w:val="24"/>
          <w:szCs w:val="24"/>
        </w:rPr>
        <w:t xml:space="preserve">关键词：铁路线路；智能检测；多模态感知融合；时空对齐；自适应融合；EKF</w:t>
      </w:r>
    </w:p>
    <w:p>
      <w:pPr>
        <w:spacing w:before="200" w:after="120"/>
        <w:jc w:val="CENTER"/>
      </w:pPr>
      <w:r>
        <w:rPr>
          <w:rFonts w:ascii="Times New Roman" w:hAnsi="Times New Roman" w:eastAsia="Times New Roman"/>
          <w:sz w:val="24"/>
          <w:szCs w:val="24"/>
          <w:b/>
        </w:rPr>
        <w:t xml:space="preserve">Abstract</w:t>
      </w:r>
    </w:p>
    <w:p>
      <w:pPr>
        <w:spacing w:before="0" w:after="0" w:line="440" w:lineRule="exact"/>
        <w:ind w:firstLine="419"/>
      </w:pPr>
      <w:r>
        <w:rPr>
          <w:rFonts w:ascii="Times New Roman" w:hAnsi="Times New Roman" w:eastAsia="Times New Roman"/>
          <w:sz w:val="24"/>
          <w:szCs w:val="24"/>
        </w:rPr>
        <w:t xml:space="preserve">Railway track comprehensive inspection faces core challenges including ununified spatiotemporal references across multi-source heterogeneous data and lack of adaptive fusion weights. This paper proposes a deep multi-source heterogeneous data fusion method under unified spatiotemporal reference. The main contributions include: a three-key indexing spatiotemporal alignment mechanism (frame number, mileage coordinate, UTC timestamp) that improves spatial alignment accuracy from centimeter-level to sub-millimeter-level (mean error 3.2mm, 74.7% reduction); an adaptive dynamic weighted geometric mean fusion algorithm based on detection reliability factors, achieving 97.5% fusion accuracy; a dual-rate EKF fusion architecture that achieves frequency-domain decoupling of track elevation and vehicle vibration, with height irregularity measurement precision better than 0.5mm. Systematic validation on over 120km of actual lines under China Railway Jinan Bureau confirms that a single device covers all 8 inspection functions in one run, validating the effectiveness and stability of the proposed method.</w:t>
      </w:r>
    </w:p>
    <w:p>
      <w:pPr>
        <w:spacing w:before="80" w:after="160"/>
        <w:jc w:val="LEFT"/>
      </w:pPr>
      <w:r>
        <w:rPr>
          <w:rFonts w:ascii="Times New Roman" w:hAnsi="Times New Roman" w:eastAsia="Times New Roman"/>
          <w:sz w:val="24"/>
          <w:szCs w:val="24"/>
        </w:rPr>
        <w:t xml:space="preserve">Keywords: railway track; intelligent inspection; multimodal perception fusion; spatiotemporal alignment; adaptive fusion; EKF</w:t>
      </w:r>
    </w:p>
    <w:p>
      <w:pPr>
        <w:spacing w:before="240" w:after="120"/>
        <w:jc w:val="CENTER"/>
      </w:pPr>
      <w:r>
        <w:rPr>
          <w:rFonts w:ascii="SimHei" w:hAnsi="SimHei" w:eastAsia="黑体"/>
          <w:sz w:val="28"/>
          <w:szCs w:val="28"/>
          <w:b/>
        </w:rPr>
        <w:t xml:space="preserve">参考文献</w:t>
      </w:r>
    </w:p>
    <w:p>
      <w:pPr>
        <w:spacing w:before="0" w:after="0" w:line="440" w:lineRule="exact"/>
        <w:ind w:firstLine="419"/>
      </w:pPr>
      <w:r>
        <w:rPr>
          <w:rFonts w:ascii="SimSun" w:hAnsi="SimSun" w:eastAsia="宋体"/>
          <w:sz w:val="21"/>
          <w:szCs w:val="21"/>
        </w:rPr>
        <w:t xml:space="preserve">[1] 姜涛, 王磊, 张明. 基于深度学习的轨面缺陷检测方法研究[J]. 铁道科学与工程学报, 2021, 18(5): 1268-1276.</w:t>
      </w:r>
    </w:p>
    <w:p>
      <w:pPr>
        <w:spacing w:before="0" w:after="0" w:line="440" w:lineRule="exact"/>
        <w:ind w:firstLine="419"/>
      </w:pPr>
      <w:r>
        <w:rPr>
          <w:rFonts w:ascii="SimSun" w:hAnsi="SimSun" w:eastAsia="宋体"/>
          <w:sz w:val="21"/>
          <w:szCs w:val="21"/>
        </w:rPr>
        <w:t xml:space="preserve">[2] Liu Y, Chen Q, Wang J, et al. Rail surface defect detection based on improved YOLOv5[J]. IEEE Transactions on Intelligent Transportation Systems, 2022, 23(9): 15367-15378.</w:t>
      </w:r>
    </w:p>
    <w:p>
      <w:pPr>
        <w:spacing w:before="0" w:after="0" w:line="440" w:lineRule="exact"/>
        <w:ind w:firstLine="419"/>
      </w:pPr>
      <w:r>
        <w:rPr>
          <w:rFonts w:ascii="SimSun" w:hAnsi="SimSun" w:eastAsia="宋体"/>
          <w:sz w:val="21"/>
          <w:szCs w:val="21"/>
        </w:rPr>
        <w:t xml:space="preserve">[3] 陈立, 刘强, 赵宇. 铁路轨道几何参数检测技术综述[J]. 中国铁道科学, 2020, 41(4): 67-79.</w:t>
      </w:r>
    </w:p>
    <w:p>
      <w:pPr>
        <w:spacing w:before="0" w:after="0" w:line="440" w:lineRule="exact"/>
        <w:ind w:firstLine="419"/>
      </w:pPr>
      <w:r>
        <w:rPr>
          <w:rFonts w:ascii="SimSun" w:hAnsi="SimSun" w:eastAsia="宋体"/>
          <w:sz w:val="21"/>
          <w:szCs w:val="21"/>
        </w:rPr>
        <w:t xml:space="preserve">[4] Li H, Wang S, Zhang J. Multi-sensor data fusion for railway track inspection: A review[J]. Sensors, 2020, 20(17): 4863.</w:t>
      </w:r>
    </w:p>
    <w:p>
      <w:pPr>
        <w:spacing w:before="0" w:after="0" w:line="440" w:lineRule="exact"/>
        <w:ind w:firstLine="419"/>
      </w:pPr>
      <w:r>
        <w:rPr>
          <w:rFonts w:ascii="SimSun" w:hAnsi="SimSun" w:eastAsia="宋体"/>
          <w:sz w:val="21"/>
          <w:szCs w:val="21"/>
        </w:rPr>
        <w:t xml:space="preserve">[5] 马超, 孙伟, 李明. 基于EKF的轨道高低不平顺估计方法[J]. 振动与冲击, 2019, 38(15): 247-253.</w:t>
      </w:r>
    </w:p>
    <w:p>
      <w:pPr>
        <w:spacing w:before="0" w:after="0" w:line="440" w:lineRule="exact"/>
        <w:ind w:firstLine="419"/>
      </w:pPr>
      <w:r>
        <w:rPr>
          <w:rFonts w:ascii="SimSun" w:hAnsi="SimSun" w:eastAsia="宋体"/>
          <w:sz w:val="21"/>
          <w:szCs w:val="21"/>
        </w:rPr>
        <w:t xml:space="preserve">[6] Chen X, Wang Q, Liu Y, et al. Comprehensive detection system for railway track surface and geometry parameters[J]. Measurement, 2021, 178: 109377.</w:t>
      </w:r>
    </w:p>
    <w:p>
      <w:pPr>
        <w:spacing w:before="0" w:after="0" w:line="440" w:lineRule="exact"/>
        <w:ind w:firstLine="419"/>
      </w:pPr>
      <w:r>
        <w:rPr>
          <w:rFonts w:ascii="SimSun" w:hAnsi="SimSun" w:eastAsia="宋体"/>
          <w:sz w:val="21"/>
          <w:szCs w:val="21"/>
        </w:rPr>
        <w:t xml:space="preserve">[7] 贾志勇, 周建平, 吴昊. 铁路线路检测机器人技术发展现状与展望[J]. 机械工程学报, 2022, 58(20): 1-15.</w:t>
      </w:r>
    </w:p>
    <w:p>
      <w:pPr>
        <w:spacing w:before="0" w:after="0" w:line="440" w:lineRule="exact"/>
        <w:ind w:firstLine="419"/>
      </w:pPr>
      <w:r>
        <w:rPr>
          <w:rFonts w:ascii="SimSun" w:hAnsi="SimSun" w:eastAsia="宋体"/>
          <w:sz w:val="21"/>
          <w:szCs w:val="21"/>
        </w:rPr>
        <w:t xml:space="preserve">[8] Zhang Y, Huang J, Zhao Z, et al. Real-time rail defect detection using deep learning: A survey[J]. Engineering Applications of Artificial Intelligence, 2023, 126: 106881.</w:t>
      </w:r>
    </w:p>
    <w:p>
      <w:pPr>
        <w:spacing w:before="280" w:after="120"/>
        <w:jc w:val="CENTER"/>
      </w:pPr>
      <w:r>
        <w:rPr>
          <w:rFonts w:ascii="SimHei" w:hAnsi="SimHei" w:eastAsia="黑体"/>
          <w:b/>
          <w:sz w:val="32"/>
          <w:szCs w:val="32"/>
        </w:rPr>
        <w:t xml:space="preserve">第1章 绪论</w:t>
      </w:r>
    </w:p>
    <w:bookmarkStart w:id="20" w:name="研究背景与问题提出"/>
    <w:p>
      <w:pPr>
        <w:spacing w:before="160" w:after="80"/>
        <w:jc w:val="LEFT"/>
      </w:pPr>
      <w:r>
        <w:rPr>
          <w:rFonts w:ascii="SimHei" w:hAnsi="SimHei" w:eastAsia="黑体"/>
          <w:b/>
          <w:sz w:val="26"/>
          <w:szCs w:val="26"/>
        </w:rPr>
        <w:t xml:space="preserve">1.1 研究背景与问题提出</w:t>
      </w:r>
    </w:p>
    <w:p>
      <w:pPr>
        <w:spacing w:after="120" w:line="440" w:lineRule="exact"/>
        <w:ind w:firstLine="419"/>
      </w:pPr>
      <w:r>
        <w:rPr>
          <w:rFonts w:ascii="SimSun" w:hAnsi="SimSun" w:eastAsia="宋体"/>
          <w:sz w:val="24"/>
          <w:szCs w:val="24"/>
        </w:rPr>
        <w:t xml:space="preserve">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近年来，深度学习和高精度传感器技术的快速发展，使铁路线路检测的智能化水平显著提升。然而，综合检测领域仍面临三个核心矛盾：</w:t>
      </w:r>
    </w:p>
    <w:p>
      <w:pPr>
        <w:spacing w:after="120" w:line="440" w:lineRule="exact"/>
        <w:ind w:firstLine="419"/>
      </w:pPr>
      <w:r>
        <w:rPr>
          <w:rFonts w:ascii="SimSun" w:hAnsi="SimSun" w:eastAsia="宋体"/>
          <w:sz w:val="24"/>
          <w:szCs w:val="24"/>
        </w:rPr>
        <w:t xml:space="preserve">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传统轨道检查车精度高但调度周期长；便携仪器灵活但人工效率低、数据离散性大。现有方案在”全面覆盖”与”精确测量”之间难以兼得。</w:t>
      </w:r>
    </w:p>
    <w:p>
      <w:pPr>
        <w:spacing w:after="120" w:line="440" w:lineRule="exact"/>
        <w:ind w:firstLine="419"/>
      </w:pPr>
      <w:r>
        <w:rPr>
          <w:rFonts w:ascii="SimSun" w:hAnsi="SimSun" w:eastAsia="宋体"/>
          <w:sz w:val="24"/>
          <w:szCs w:val="24"/>
        </w:rPr>
        <w:t xml:space="preserve">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上述三个矛盾并非某一算法的局部不足，而是系统架构层面的共性瓶颈，制约着铁路线路综合检测技术的进一步发展。</w:t>
      </w:r>
    </w:p>
    <w:bookmarkEnd w:id="20"/>
    <w:bookmarkStart w:id="21" w:name="国内外研究现状与评述"/>
    <w:p>
      <w:pPr>
        <w:spacing w:before="160" w:after="80"/>
        <w:jc w:val="LEFT"/>
      </w:pPr>
      <w:r>
        <w:rPr>
          <w:rFonts w:ascii="SimHei" w:hAnsi="SimHei" w:eastAsia="黑体"/>
          <w:b/>
          <w:sz w:val="26"/>
          <w:szCs w:val="26"/>
        </w:rPr>
        <w:t xml:space="preserve">1.2 国内外研究现状与评述</w:t>
      </w:r>
    </w:p>
    <w:p>
      <w:pPr>
        <w:spacing w:after="120" w:line="440" w:lineRule="exact"/>
        <w:ind w:firstLine="419"/>
      </w:pPr>
      <w:r>
        <w:rPr>
          <w:rFonts w:ascii="SimSun" w:hAnsi="SimSun" w:eastAsia="宋体"/>
          <w:sz w:val="24"/>
          <w:szCs w:val="24"/>
        </w:rPr>
        <w:t xml:space="preserve">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line="440" w:lineRule="exact"/>
        <w:ind w:firstLine="419"/>
      </w:pPr>
      <w:r>
        <w:rPr>
          <w:rFonts w:ascii="SimSun" w:hAnsi="SimSun" w:eastAsia="宋体"/>
          <w:sz w:val="24"/>
          <w:szCs w:val="24"/>
        </w:rPr>
        <w:t xml:space="preserve">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line="440" w:lineRule="exact"/>
        <w:ind w:firstLine="419"/>
      </w:pPr>
      <w:r>
        <w:rPr>
          <w:rFonts w:ascii="SimSun" w:hAnsi="SimSun" w:eastAsia="宋体"/>
          <w:sz w:val="24"/>
          <w:szCs w:val="24"/>
        </w:rPr>
        <w:t xml:space="preserve">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bookmarkEnd w:id="21"/>
    <w:bookmarkStart w:id="22" w:name="研究目标与创新点"/>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本文研究目标是：在统一时空基准下，实现视觉检测与几何参数检测的深度融合，提出具有自适应能力的融合判定算法，并在实际线路上完成系统性验证。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围绕上述目标，本文有三项主要创新贡献：</w:t>
      </w:r>
    </w:p>
    <w:p>
      <w:pPr>
        <w:spacing w:after="120" w:line="440" w:lineRule="exact"/>
        <w:ind w:firstLine="419"/>
      </w:pPr>
      <w:r>
        <w:rPr>
          <w:rFonts w:ascii="SimSun" w:hAnsi="SimSun" w:eastAsia="宋体"/>
          <w:sz w:val="24"/>
          <w:szCs w:val="24"/>
        </w:rPr>
        <w:t xml:space="preserve">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line="440" w:lineRule="exact"/>
        <w:ind w:firstLine="419"/>
      </w:pPr>
      <w:r>
        <w:rPr>
          <w:rFonts w:ascii="SimSun" w:hAnsi="SimSun" w:eastAsia="宋体"/>
          <w:sz w:val="24"/>
          <w:szCs w:val="24"/>
        </w:rPr>
        <w:t xml:space="preserve">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bookmarkEnd w:id="22"/>
    <w:bookmarkStart w:id="23" w:name="论文结构安排"/>
    <w:p>
      <w:pPr>
        <w:spacing w:before="160" w:after="80"/>
        <w:jc w:val="LEFT"/>
      </w:pPr>
      <w:r>
        <w:rPr>
          <w:rFonts w:ascii="SimHei" w:hAnsi="SimHei" w:eastAsia="黑体"/>
          <w:b/>
          <w:sz w:val="26"/>
          <w:szCs w:val="26"/>
        </w:rPr>
        <w:t xml:space="preserve">1.4 论文结构安排</w:t>
      </w:r>
    </w:p>
    <w:p>
      <w:pPr>
        <w:spacing w:after="120" w:line="440" w:lineRule="exact"/>
        <w:ind w:firstLine="419"/>
      </w:pPr>
      <w:r>
        <w:rPr>
          <w:rFonts w:ascii="SimSun" w:hAnsi="SimSun" w:eastAsia="宋体"/>
          <w:sz w:val="24"/>
          <w:szCs w:val="24"/>
        </w:rPr>
        <w:t xml:space="preserve">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bookmarkEnd w:id="23"/>
    <w:bookmarkEnd w:id="24"/>
    <w:bookmarkStart w:id="29" w:name="第2章-感知方案与实验设计"/>
    <w:p>
      <w:pPr>
        <w:spacing w:before="280" w:after="120"/>
        <w:jc w:val="CENTER"/>
      </w:pPr>
      <w:r>
        <w:rPr>
          <w:rFonts w:ascii="SimHei" w:hAnsi="SimHei" w:eastAsia="黑体"/>
          <w:b/>
          <w:sz w:val="32"/>
          <w:szCs w:val="32"/>
        </w:rPr>
        <w:t xml:space="preserve">第2章 感知方案与实验设计</w:t>
      </w:r>
    </w:p>
    <w:bookmarkStart w:id="25" w:name="研究对象与实验环境"/>
    <w:p>
      <w:pPr>
        <w:spacing w:before="160" w:after="80"/>
        <w:jc w:val="LEFT"/>
      </w:pPr>
      <w:r>
        <w:rPr>
          <w:rFonts w:ascii="SimHei" w:hAnsi="SimHei" w:eastAsia="黑体"/>
          <w:b/>
          <w:sz w:val="26"/>
          <w:szCs w:val="26"/>
        </w:rPr>
        <w:t xml:space="preserve">2.1 研究对象与实验环境</w:t>
      </w:r>
    </w:p>
    <w:p>
      <w:pPr>
        <w:spacing w:after="120" w:line="440" w:lineRule="exact"/>
        <w:ind w:firstLine="419"/>
      </w:pPr>
      <w:r>
        <w:rPr>
          <w:rFonts w:ascii="SimSun" w:hAnsi="SimSun" w:eastAsia="宋体"/>
          <w:sz w:val="24"/>
          <w:szCs w:val="24"/>
        </w:rPr>
        <w:t xml:space="preserve">本文研究对象为铁路线路综合检测系统，检测对象涵盖钢轨轨面状态、联结件状态、焊缝质量、几何参数等8项功能指标。</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line="440" w:lineRule="exact"/>
        <w:ind w:firstLine="419"/>
      </w:pPr>
      <w:r>
        <w:rPr>
          <w:rFonts w:ascii="SimSun" w:hAnsi="SimSun" w:eastAsia="宋体"/>
          <w:sz w:val="24"/>
          <w:szCs w:val="24"/>
        </w:rPr>
        <w:t xml:space="preserve">实验期间天气涵盖晴天、阴天和小雨，环境条件具有代表性。</w:t>
      </w:r>
    </w:p>
    <w:bookmarkEnd w:id="25"/>
    <w:bookmarkStart w:id="26" w:name="感知系统配置与选型依据"/>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line="440" w:lineRule="exact"/>
        <w:ind w:firstLine="419"/>
      </w:pPr>
      <w:r>
        <w:rPr>
          <w:rFonts w:ascii="SimSun" w:hAnsi="SimSun" w:eastAsia="宋体"/>
          <w:sz w:val="24"/>
          <w:szCs w:val="24"/>
        </w:rPr>
        <w:t xml:space="preserve">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line="440" w:lineRule="exact"/>
        <w:ind w:firstLine="419"/>
      </w:pPr>
      <w:r>
        <w:rPr>
          <w:rFonts w:ascii="SimSun" w:hAnsi="SimSun" w:eastAsia="宋体"/>
          <w:sz w:val="24"/>
          <w:szCs w:val="24"/>
        </w:rPr>
        <w:t xml:space="preserve">各传感器配置及选型依据如下：</w:t>
      </w:r>
    </w:p>
    <w:p>
      <w:pPr>
        <w:spacing w:after="120" w:line="440" w:lineRule="exact"/>
        <w:ind w:firstLine="419"/>
      </w:pPr>
      <w:r>
        <w:rPr>
          <w:rFonts w:ascii="SimSun" w:hAnsi="SimSun" w:eastAsia="宋体"/>
          <w:sz w:val="24"/>
          <w:szCs w:val="24"/>
        </w:rPr>
        <w:t xml:space="preserve">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line="440" w:lineRule="exact"/>
        <w:ind w:firstLine="419"/>
      </w:pPr>
      <w:r>
        <w:rPr>
          <w:rFonts w:ascii="SimSun" w:hAnsi="SimSun" w:eastAsia="宋体"/>
          <w:sz w:val="24"/>
          <w:szCs w:val="24"/>
        </w:rPr>
        <w:t xml:space="preserve">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line="440" w:lineRule="exact"/>
        <w:ind w:firstLine="419"/>
      </w:pPr>
      <w:r>
        <w:rPr>
          <w:rFonts w:ascii="SimSun" w:hAnsi="SimSun" w:eastAsia="宋体"/>
          <w:sz w:val="24"/>
          <w:szCs w:val="24"/>
        </w:rPr>
        <w:t xml:space="preserve">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测距传感器矩阵：采样率约1000Hz，精度±0.1mm。选型依据：直接测量左右轨内侧距，测量值与车体姿态角无关，避免了横滚角对轨距测量的干扰，简化了测量模型并提高了鲁棒性。</w:t>
      </w:r>
    </w:p>
    <w:bookmarkEnd w:id="26"/>
    <w:bookmarkStart w:id="27" w:name="实验评价指标体系"/>
    <w:p>
      <w:pPr>
        <w:spacing w:before="160" w:after="80"/>
        <w:jc w:val="LEFT"/>
      </w:pPr>
      <w:r>
        <w:rPr>
          <w:rFonts w:ascii="SimHei" w:hAnsi="SimHei" w:eastAsia="黑体"/>
          <w:b/>
          <w:sz w:val="26"/>
          <w:szCs w:val="26"/>
        </w:rPr>
        <w:t xml:space="preserve">2.3 实验评价指标体系</w:t>
      </w:r>
    </w:p>
    <w:p>
      <w:pPr>
        <w:spacing w:after="120" w:line="440" w:lineRule="exact"/>
        <w:ind w:firstLine="419"/>
      </w:pPr>
      <w:r>
        <w:rPr>
          <w:rFonts w:ascii="SimSun" w:hAnsi="SimSun" w:eastAsia="宋体"/>
          <w:sz w:val="24"/>
          <w:szCs w:val="24"/>
        </w:rPr>
        <w:t xml:space="preserve">为全面评估系统性能，本文建立了涵盖精度、鲁棒性、可靠性三个维度的评价指标体系：</w:t>
      </w:r>
    </w:p>
    <w:p>
      <w:pPr>
        <w:spacing w:after="120" w:line="440" w:lineRule="exact"/>
        <w:ind w:firstLine="419"/>
      </w:pPr>
      <w:r>
        <w:rPr>
          <w:rFonts w:ascii="SimSun" w:hAnsi="SimSun" w:eastAsia="宋体"/>
          <w:sz w:val="24"/>
          <w:szCs w:val="24"/>
        </w:rPr>
        <w:t xml:space="preserve">精度指标：各检测功能的绝对误差和相对误差，以标准轨段标定值或人工测量值为Ground Truth，采用均值误差和标准差描述；时空对齐精度以光学标记点坐标为参考基准。</w:t>
      </w:r>
    </w:p>
    <w:p>
      <w:pPr>
        <w:spacing w:after="120" w:line="440" w:lineRule="exact"/>
        <w:ind w:firstLine="419"/>
      </w:pPr>
      <w:r>
        <w:rPr>
          <w:rFonts w:ascii="SimSun" w:hAnsi="SimSun" w:eastAsia="宋体"/>
          <w:sz w:val="24"/>
          <w:szCs w:val="24"/>
        </w:rPr>
        <w:t xml:space="preserve">鲁棒性指标：在验证集中注入不同比例（5%、10%、20%）的测量噪声，评估融合算法的性能退化程度，以准确率下降幅度为鲁棒性度量。</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可靠性指标：在传感器性能退化条件下（模拟镜头污染、激光功率衰减），评估自适应融合算法的性能稳定性。</w:t>
      </w:r>
    </w:p>
    <w:bookmarkEnd w:id="27"/>
    <w:bookmarkStart w:id="28" w:name="系统技术指标"/>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bookmarkEnd w:id="28"/>
    <w:bookmarkEnd w:id="29"/>
    <w:bookmarkStart w:id="43" w:name="第3章-多源数据融合方法"/>
    <w:p>
      <w:pPr>
        <w:spacing w:before="280" w:after="120"/>
        <w:jc w:val="CENTER"/>
      </w:pPr>
      <w:r>
        <w:rPr>
          <w:rFonts w:ascii="SimHei" w:hAnsi="SimHei" w:eastAsia="黑体"/>
          <w:b/>
          <w:sz w:val="32"/>
          <w:szCs w:val="32"/>
        </w:rPr>
        <w:t xml:space="preserve">第3章 多源数据融合方法</w:t>
      </w:r>
    </w:p>
    <w:bookmarkStart w:id="33" w:name="时空对齐机制"/>
    <w:p>
      <w:pPr>
        <w:spacing w:before="160" w:after="80"/>
        <w:jc w:val="LEFT"/>
      </w:pPr>
      <w:r>
        <w:rPr>
          <w:rFonts w:ascii="SimHei" w:hAnsi="SimHei" w:eastAsia="黑体"/>
          <w:b/>
          <w:sz w:val="26"/>
          <w:szCs w:val="26"/>
        </w:rPr>
        <w:t xml:space="preserve">3.1 时空对齐机制</w:t>
      </w:r>
    </w:p>
    <w:bookmarkStart w:id="30" w:name="问题定义"/>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综合检测系统的首要问题是：8种异构传感器在时间上独立采样、空间上分布安装，如何建立统一的时空基准，使来自不同传感器的数据能够精确关联到同一空间位置？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line="440" w:lineRule="exact"/>
        <w:ind w:firstLine="419"/>
      </w:pPr>
      <w:r>
        <w:rPr>
          <w:rFonts w:ascii="SimSun" w:hAnsi="SimSun" w:eastAsia="宋体"/>
          <w:sz w:val="24"/>
          <w:szCs w:val="24"/>
        </w:rPr>
        <w:t xml:space="preserve">这两种策略的共性缺陷是：时空对齐精度受车体姿态和行进速度影响，在复杂工况下误差显著增大，无法满足精确融合判定的需求。</w:t>
      </w:r>
    </w:p>
    <w:bookmarkEnd w:id="30"/>
    <w:bookmarkStart w:id="31" w:name="三键索引机制"/>
    <w:p>
      <w:pPr>
        <w:spacing w:before="160" w:after="80"/>
        <w:jc w:val="LEFT"/>
      </w:pPr>
      <w:r>
        <w:rPr>
          <w:rFonts w:ascii="SimHei" w:hAnsi="SimHei" w:eastAsia="黑体"/>
          <w:b/>
          <w:sz w:val="26"/>
          <w:szCs w:val="26"/>
        </w:rPr>
        <w:t xml:space="preserve">3.1.2 三键索引机制</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pStyle w:val="BodyText"/>
      </w:pPr>
      <m:oMathPara>
        <m:oMathParaPr>
          <m:jc m:val="center"/>
        </m:oMathParaPr>
        <m:oMath>
          <m:sSub>
            <m:e>
              <m:r>
                <m:t>s</m:t>
              </m:r>
            </m:e>
            <m:sub>
              <m:r>
                <m:t>k</m:t>
              </m:r>
            </m:sub>
          </m:sSub>
          <m:r>
            <m:rPr>
              <m:sty m:val="p"/>
            </m:rPr>
            <m:t>=</m:t>
          </m:r>
          <m:f>
            <m:fPr>
              <m:type m:val="bar"/>
            </m:fPr>
            <m:num>
              <m:sSub>
                <m:e>
                  <m:r>
                    <m:t>L</m:t>
                  </m:r>
                </m:e>
                <m:sub>
                  <m:r>
                    <m:rPr>
                      <m:nor/>
                      <m:sty m:val="p"/>
                    </m:rPr>
                    <m:t>standard</m:t>
                  </m:r>
                </m:sub>
              </m:sSub>
            </m:num>
            <m:den>
              <m:sSubSup>
                <m:e>
                  <m:r>
                    <m:t>N</m:t>
                  </m:r>
                </m:e>
                <m:sub>
                  <m:r>
                    <m:rPr>
                      <m:nor/>
                      <m:sty m:val="p"/>
                    </m:rPr>
                    <m:t>encoder</m:t>
                  </m:r>
                </m:sub>
                <m:sup>
                  <m:d>
                    <m:dPr>
                      <m:begChr m:val="("/>
                      <m:endChr m:val=")"/>
                      <m:sepChr m:val=""/>
                      <m:grow/>
                    </m:dPr>
                    <m:e>
                      <m:r>
                        <m:rPr>
                          <m:nor/>
                          <m:sty m:val="p"/>
                        </m:rPr>
                        <m:t>standard</m:t>
                      </m:r>
                    </m:e>
                  </m:d>
                </m:sup>
              </m:sSubSup>
            </m:den>
          </m:f>
          <m:r>
            <m:rPr>
              <m:sty m:val="p"/>
            </m:rPr>
            <m:t>⋅</m:t>
          </m:r>
          <m:sSubSup>
            <m:e>
              <m:r>
                <m:t>N</m:t>
              </m:r>
            </m:e>
            <m:sub>
              <m:r>
                <m:rPr>
                  <m:nor/>
                  <m:sty m:val="p"/>
                </m:rPr>
                <m:t>encoder</m:t>
              </m:r>
            </m:sub>
            <m:sup>
              <m:d>
                <m:dPr>
                  <m:begChr m:val="("/>
                  <m:endChr m:val=")"/>
                  <m:sepChr m:val=""/>
                  <m:grow/>
                </m:dPr>
                <m:e>
                  <m:r>
                    <m:t>k</m:t>
                  </m:r>
                </m:e>
              </m:d>
            </m:sup>
          </m:sSubSup>
        </m:oMath>
      </m:oMathPara>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pStyle w:val="BodyText"/>
      </w:pPr>
      <m:oMathPara>
        <m:oMathParaPr>
          <m:jc m:val="center"/>
        </m:oMathParaPr>
        <m:oMath>
          <m:r>
            <m:t>T</m:t>
          </m:r>
          <m:d>
            <m:dPr>
              <m:begChr m:val="("/>
              <m:endChr m:val=")"/>
              <m:sepChr m:val=""/>
              <m:grow/>
            </m:dPr>
            <m:e>
              <m:r>
                <m:t>D</m:t>
              </m:r>
            </m:e>
          </m:d>
          <m:r>
            <m:rPr>
              <m:sty m:val="p"/>
            </m:rPr>
            <m:t>=</m:t>
          </m:r>
          <m:r>
            <m:rPr>
              <m:sty m:val="p"/>
            </m:rPr>
            <m:t>⟨</m:t>
          </m:r>
          <m:sSub>
            <m:e>
              <m:r>
                <m:rPr>
                  <m:nor/>
                  <m:sty m:val="p"/>
                </m:rPr>
                <m:t>FID</m:t>
              </m:r>
            </m:e>
            <m:sub>
              <m:r>
                <m:t>k</m:t>
              </m:r>
            </m:sub>
          </m:sSub>
          <m:r>
            <m:rPr>
              <m:sty m:val="p"/>
            </m:rPr>
            <m:t>,</m:t>
          </m:r>
          <m:r>
            <m:t> </m:t>
          </m:r>
          <m:sSub>
            <m:e>
              <m:r>
                <m:t>s</m:t>
              </m:r>
            </m:e>
            <m:sub>
              <m:r>
                <m:t>k</m:t>
              </m:r>
            </m:sub>
          </m:sSub>
          <m:r>
            <m:rPr>
              <m:sty m:val="p"/>
            </m:rPr>
            <m:t>,</m:t>
          </m:r>
          <m:r>
            <m:t> </m:t>
          </m:r>
          <m:sSub>
            <m:e>
              <m:r>
                <m:t>t</m:t>
              </m:r>
            </m:e>
            <m:sub>
              <m:r>
                <m:t>k</m:t>
              </m:r>
            </m:sub>
          </m:sSub>
          <m:r>
            <m:rPr>
              <m:sty m:val="p"/>
            </m:rPr>
            <m:t>⟩</m:t>
          </m:r>
        </m:oMath>
      </m:oMathPara>
    </w:p>
    <w:p>
      <w:pPr>
        <w:spacing w:after="120" w:line="440" w:lineRule="exact"/>
        <w:ind w:firstLine="419"/>
      </w:pPr>
      <w:r>
        <w:rPr>
          <w:rFonts w:ascii="SimSun" w:hAnsi="SimSun" w:eastAsia="宋体"/>
          <w:sz w:val="24"/>
          <w:szCs w:val="24"/>
        </w:rPr>
        <w:t xml:space="preserve">时空等价关系：任意两条数据和的时空等价关系定义为：</w:t>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spacing w:after="120" w:line="440" w:lineRule="exact"/>
        <w:ind w:firstLine="419"/>
      </w:pPr>
      <w:r>
        <w:rPr>
          <w:rFonts w:ascii="SimSun" w:hAnsi="SimSun" w:eastAsia="宋体"/>
          <w:sz w:val="24"/>
          <w:szCs w:val="24"/>
        </w:rPr>
        <w:t xml:space="preserve">其中，，。</w:t>
      </w:r>
    </w:p>
    <w:bookmarkEnd w:id="31"/>
    <w:bookmarkStart w:id="32" w:name="物理实现"/>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bookmarkEnd w:id="32"/>
    <w:bookmarkEnd w:id="33"/>
    <w:bookmarkStart w:id="34" w:name="三级融合框架"/>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pStyle w:val="BodyText"/>
      </w:pPr>
      <m:oMathPara>
        <m:oMathParaPr>
          <m:jc m:val="center"/>
        </m:oMathParaPr>
        <m:oMath>
          <m:sSub>
            <m:e>
              <m:r>
                <m:t>X</m:t>
              </m:r>
            </m:e>
            <m:sub>
              <m:r>
                <m:rPr>
                  <m:nor/>
                  <m:sty m:val="p"/>
                </m:rPr>
                <m:t>corrected</m:t>
              </m:r>
            </m:sub>
          </m:sSub>
          <m:r>
            <m:rPr>
              <m:sty m:val="p"/>
            </m:rPr>
            <m:t>=</m:t>
          </m:r>
          <m:sSub>
            <m:e>
              <m:r>
                <m:t>X</m:t>
              </m:r>
            </m:e>
            <m:sub>
              <m:r>
                <m:rPr>
                  <m:nor/>
                  <m:sty m:val="p"/>
                </m:rPr>
                <m:t>raw</m:t>
              </m:r>
            </m:sub>
          </m:sSub>
          <m:r>
            <m:rPr>
              <m:sty m:val="p"/>
            </m:rPr>
            <m:t>−</m:t>
          </m:r>
          <m:r>
            <m:t>L</m:t>
          </m:r>
          <m:r>
            <m:rPr>
              <m:sty m:val="p"/>
            </m:rPr>
            <m:t>⋅</m:t>
          </m:r>
          <m:d>
            <m:dPr>
              <m:begChr m:val="("/>
              <m:endChr m:val=")"/>
              <m:sepChr m:val=""/>
              <m:grow/>
            </m:dPr>
            <m:e>
              <m:r>
                <m:t>1</m:t>
              </m:r>
              <m:r>
                <m:rPr>
                  <m:sty m:val="p"/>
                </m:rPr>
                <m:t>−</m:t>
              </m:r>
              <m:r>
                <m:rPr>
                  <m:sty m:val="p"/>
                </m:rPr>
                <m:t>cos</m:t>
              </m:r>
              <m:sSub>
                <m:e>
                  <m:r>
                    <m:t>θ</m:t>
                  </m:r>
                </m:e>
                <m:sub>
                  <m:r>
                    <m:rPr>
                      <m:nor/>
                      <m:sty m:val="p"/>
                    </m:rPr>
                    <m:t>pitch</m:t>
                  </m:r>
                </m:sub>
              </m:sSub>
            </m:e>
          </m:d>
        </m:oMath>
      </m:oMathPara>
    </w:p>
    <w:p>
      <w:pPr>
        <w:spacing w:after="120" w:line="440" w:lineRule="exact"/>
        <w:ind w:firstLine="419"/>
      </w:pPr>
      <w:r>
        <w:rPr>
          <w:rFonts w:ascii="SimSun" w:hAnsi="SimSun" w:eastAsia="宋体"/>
          <w:sz w:val="24"/>
          <w:szCs w:val="24"/>
        </w:rPr>
        <w:t xml:space="preserve">其中，为传感器至轨面高度，为俯仰角。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bookmarkEnd w:id="34"/>
    <w:bookmarkStart w:id="38" w:name="自适应动态加权融合算法"/>
    <w:p>
      <w:pPr>
        <w:spacing w:before="160" w:after="80"/>
        <w:jc w:val="LEFT"/>
      </w:pPr>
      <w:r>
        <w:rPr>
          <w:rFonts w:ascii="SimHei" w:hAnsi="SimHei" w:eastAsia="黑体"/>
          <w:b/>
          <w:sz w:val="26"/>
          <w:szCs w:val="26"/>
        </w:rPr>
        <w:t xml:space="preserve">3.3 自适应动态加权融合算法</w:t>
      </w:r>
    </w:p>
    <w:bookmarkStart w:id="35" w:name="现有方法的局限性"/>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现有融合算法中，权重配置存在两种常见方法：经验固定权重（缺点是缺乏理论依据，无法适应传感器性能退化）和等权平均（缺点是忽略不同传感器在不同缺陷类型上的固有性能差异）。</w:t>
      </w:r>
    </w:p>
    <w:bookmarkEnd w:id="35"/>
    <w:bookmarkStart w:id="36" w:name="自适应权重计算"/>
    <w:p>
      <w:pPr>
        <w:spacing w:before="160" w:after="80"/>
        <w:jc w:val="LEFT"/>
      </w:pPr>
      <w:r>
        <w:rPr>
          <w:rFonts w:ascii="SimHei" w:hAnsi="SimHei" w:eastAsia="黑体"/>
          <w:b/>
          <w:sz w:val="26"/>
          <w:szCs w:val="26"/>
        </w:rPr>
        <w:t xml:space="preserve">3.3.2 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定义各维度检测器在时刻的可靠性因子为：</w:t>
      </w:r>
    </w:p>
    <w:p>
      <w:pPr>
        <w:pStyle w:val="BodyText"/>
      </w:pPr>
      <m:oMathPara>
        <m:oMathParaPr>
          <m:jc m:val="center"/>
        </m:oMathParaPr>
        <m:oMath>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其中，为维度置信度，为该维度置信度的滑动标准差（窗口宽度帧）。的物理含义是：置信度高且稳定的检测器，其可靠性因子大，应在融合中占据更大权重。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显然，，权重始终归一化。</w:t>
      </w:r>
    </w:p>
    <w:bookmarkEnd w:id="36"/>
    <w:bookmarkStart w:id="37" w:name="融合置信度的几何平均计算"/>
    <w:p>
      <w:pPr>
        <w:spacing w:before="160" w:after="80"/>
        <w:jc w:val="LEFT"/>
      </w:pPr>
      <w:r>
        <w:rPr>
          <w:rFonts w:ascii="SimHei" w:hAnsi="SimHei" w:eastAsia="黑体"/>
          <w:b/>
          <w:sz w:val="26"/>
          <w:szCs w:val="26"/>
        </w:rPr>
        <w:t xml:space="preserve">3.3.3 融合置信度的几何平均计算</w:t>
      </w:r>
    </w:p>
    <w:p>
      <w:pPr>
        <w:spacing w:after="120" w:line="440" w:lineRule="exact"/>
        <w:ind w:firstLine="419"/>
      </w:pPr>
      <w:r>
        <w:rPr>
          <w:rFonts w:ascii="SimSun" w:hAnsi="SimSun" w:eastAsia="宋体"/>
          <w:sz w:val="24"/>
          <w:szCs w:val="24"/>
        </w:rPr>
        <w:t xml:space="preserve">融合置信度采用加权几何平均计算：</w:t>
      </w:r>
    </w:p>
    <w:p>
      <w:pPr>
        <w:pStyle w:val="BodyText"/>
      </w:pPr>
      <m:oMathPara>
        <m:oMathParaPr>
          <m:jc m:val="center"/>
        </m:oMathParaPr>
        <m:oMath>
          <m:sSub>
            <m:e>
              <m:r>
                <m:t>C</m:t>
              </m:r>
            </m:e>
            <m:sub>
              <m:r>
                <m:rPr>
                  <m:nor/>
                  <m:sty m:val="p"/>
                </m:rPr>
                <m:t>fusion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m:oMath>
      </m:oMathPara>
    </w:p>
    <w:p>
      <w:pPr>
        <w:spacing w:after="120" w:line="440" w:lineRule="exact"/>
        <w:ind w:firstLine="419"/>
      </w:pPr>
      <w:r>
        <w:rPr>
          <w:rFonts w:ascii="SimSun" w:hAnsi="SimSun" w:eastAsia="宋体"/>
          <w:sz w:val="24"/>
          <w:szCs w:val="24"/>
        </w:rPr>
        <w:t xml:space="preserve">几何平均的选择基于以下关键考虑：几何平均对单一低置信度具有放大效应——当任意时，。这意味着即使2D图像和3D点云都给出较高置信度，但若IMU检测到异常振动模式（表明该位置确实存在结构性问题），几何平均的乘积特性使最终置信度不会因某一维度的低值而虚高，有效防止误判在多维度间的传播。</w:t>
      </w:r>
    </w:p>
    <w:bookmarkEnd w:id="37"/>
    <w:bookmarkEnd w:id="38"/>
    <w:bookmarkStart w:id="42" w:name="高低检测双速ekf融合算法"/>
    <w:p>
      <w:pPr>
        <w:spacing w:before="160" w:after="80"/>
        <w:jc w:val="LEFT"/>
      </w:pPr>
      <w:r>
        <w:rPr>
          <w:rFonts w:ascii="SimHei" w:hAnsi="SimHei" w:eastAsia="黑体"/>
          <w:b/>
          <w:sz w:val="26"/>
          <w:szCs w:val="26"/>
        </w:rPr>
        <w:t xml:space="preserve">3.4 高低检测双速EKF融合算法</w:t>
      </w:r>
    </w:p>
    <w:bookmarkStart w:id="39" w:name="问题背景"/>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bookmarkEnd w:id="39"/>
    <w:bookmarkStart w:id="40" w:name="双速架构设计"/>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快回路（200Hz）：利用HWT905姿态传感器（200Hz采样）的横滚角和俯仰角数据，实时估计并补偿车体的高频振动。快回路响应时间，满足车体振动的实时校正需求。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慢回路（10Hz）：基于单点测距传感器（2000Hz采样）累积数据，估计轨道高程真值。慢回路状态向量为：</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spacing w:after="120" w:line="440" w:lineRule="exact"/>
        <w:ind w:firstLine="419"/>
      </w:pPr>
      <w:r>
        <w:rPr>
          <w:rFonts w:ascii="SimSun" w:hAnsi="SimSun" w:eastAsia="宋体"/>
          <w:sz w:val="24"/>
          <w:szCs w:val="24"/>
        </w:rPr>
        <w:t xml:space="preserve">其中，为轨道高程（待估计真值），为车体相对轨道的高差，为车体垂向速度。</w:t>
      </w:r>
    </w:p>
    <w:p>
      <w:pPr>
        <w:spacing w:after="120" w:line="440" w:lineRule="exact"/>
        <w:ind w:firstLine="419"/>
      </w:pPr>
      <w:r>
        <w:rPr>
          <w:rFonts w:ascii="SimSun" w:hAnsi="SimSun" w:eastAsia="宋体"/>
          <w:sz w:val="24"/>
          <w:szCs w:val="24"/>
        </w:rPr>
        <w:t xml:space="preserve">慢回路观测方程为：</w:t>
      </w:r>
    </w:p>
    <w:p>
      <w:pPr>
        <w:pStyle w:val="BodyText"/>
      </w:pPr>
      <m:oMathPara>
        <m:oMathParaPr>
          <m:jc m:val="center"/>
        </m:oMathParaPr>
        <m:oMath>
          <m:sSub>
            <m:e>
              <m:r>
                <m:t>z</m:t>
              </m:r>
            </m:e>
            <m:sub>
              <m:r>
                <m:t>k</m:t>
              </m:r>
            </m:sub>
          </m:sSub>
          <m:r>
            <m:rPr>
              <m:sty m:val="p"/>
            </m:rPr>
            <m:t>=</m:t>
          </m:r>
          <m:sSub>
            <m:e>
              <m:r>
                <m:t>d</m:t>
              </m:r>
            </m:e>
            <m:sub>
              <m:r>
                <m:rPr>
                  <m:nor/>
                  <m:sty m:val="p"/>
                </m:rPr>
                <m:t>测</m:t>
              </m:r>
            </m:sub>
          </m:sSub>
          <m:d>
            <m:dPr>
              <m:begChr m:val="("/>
              <m:endChr m:val=")"/>
              <m:sepChr m:val=""/>
              <m:grow/>
            </m:dPr>
            <m:e>
              <m:r>
                <m:t>k</m:t>
              </m:r>
            </m:e>
          </m:d>
          <m:r>
            <m:rPr>
              <m:sty m:val="p"/>
            </m:rPr>
            <m:t>=</m:t>
          </m:r>
          <m:r>
            <m:t>H</m:t>
          </m:r>
          <m:r>
            <m:rPr>
              <m:sty m:val="p"/>
            </m:rPr>
            <m:t>+</m:t>
          </m:r>
          <m:sSub>
            <m:e>
              <m:r>
                <m:t>h</m:t>
              </m:r>
            </m:e>
            <m:sub>
              <m:r>
                <m:rPr>
                  <m:nor/>
                  <m:sty m:val="p"/>
                </m:rPr>
                <m:t>veh</m:t>
              </m:r>
            </m:sub>
          </m:sSub>
          <m:d>
            <m:dPr>
              <m:begChr m:val="("/>
              <m:endChr m:val=")"/>
              <m:sepChr m:val=""/>
              <m:grow/>
            </m:dPr>
            <m:e>
              <m:r>
                <m:t>k</m:t>
              </m:r>
            </m:e>
          </m:d>
          <m:r>
            <m:rPr>
              <m:sty m:val="p"/>
            </m:rPr>
            <m:t>−</m:t>
          </m:r>
          <m:sSub>
            <m:e>
              <m:r>
                <m:t>h</m:t>
              </m:r>
            </m:e>
            <m:sub>
              <m:r>
                <m:rPr>
                  <m:nor/>
                  <m:sty m:val="p"/>
                </m:rPr>
                <m:t>track</m:t>
              </m:r>
            </m:sub>
          </m:sSub>
          <m:d>
            <m:dPr>
              <m:begChr m:val="("/>
              <m:endChr m:val=")"/>
              <m:sepChr m:val=""/>
              <m:grow/>
            </m:dPr>
            <m:e>
              <m:r>
                <m:t>k</m:t>
              </m:r>
            </m:e>
          </m:d>
          <m:r>
            <m:rPr>
              <m:sty m:val="p"/>
            </m:rPr>
            <m:t>+</m:t>
          </m:r>
          <m:sSub>
            <m:e>
              <m:r>
                <m:t>v</m:t>
              </m:r>
            </m:e>
            <m:sub>
              <m:r>
                <m:t>k</m:t>
              </m:r>
            </m:sub>
          </m:sSub>
        </m:oMath>
      </m:oMathPara>
    </w:p>
    <w:p>
      <w:pPr>
        <w:spacing w:after="120" w:line="440" w:lineRule="exact"/>
        <w:ind w:firstLine="419"/>
      </w:pPr>
      <w:r>
        <w:rPr>
          <w:rFonts w:ascii="SimSun" w:hAnsi="SimSun" w:eastAsia="宋体"/>
          <w:sz w:val="24"/>
          <w:szCs w:val="24"/>
        </w:rPr>
        <w:t xml:space="preserve">其中，为传感器安装高度（约180mm），为观测噪声。慢回路输出频率10Hz与轨道高程变化带宽（&lt;1Hz）匹配，避免了高频振动噪声混入轨道高程估计结果。</w:t>
      </w:r>
    </w:p>
    <w:bookmarkEnd w:id="40"/>
    <w:bookmarkStart w:id="41" w:name="双速解耦的理论依据"/>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车体振动频率上限≈20Hz，快回路200Hz满足奈奎斯特采样率；两回路中心频率比值20:1，在频域上完全解耦，无混叠效应。</w:t>
      </w:r>
    </w:p>
    <w:bookmarkEnd w:id="41"/>
    <w:bookmarkEnd w:id="42"/>
    <w:bookmarkEnd w:id="43"/>
    <w:bookmarkStart w:id="51" w:name="第4章-视觉检测方法"/>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bookmarkStart w:id="47" w:name="基于yolov8m的轨面缺陷检测"/>
    <w:p>
      <w:pPr>
        <w:spacing w:before="160" w:after="80"/>
        <w:jc w:val="LEFT"/>
      </w:pPr>
      <w:r>
        <w:rPr>
          <w:rFonts w:ascii="SimHei" w:hAnsi="SimHei" w:eastAsia="黑体"/>
          <w:b/>
          <w:sz w:val="26"/>
          <w:szCs w:val="26"/>
        </w:rPr>
        <w:t xml:space="preserve">4.1 基于YOLOv8m的轨面缺陷检测</w:t>
      </w:r>
    </w:p>
    <w:bookmarkStart w:id="44" w:name="模型选型"/>
    <w:p>
      <w:pPr>
        <w:spacing w:before="160" w:after="80"/>
        <w:jc w:val="LEFT"/>
      </w:pPr>
      <w:r>
        <w:rPr>
          <w:rFonts w:ascii="SimHei" w:hAnsi="SimHei" w:eastAsia="黑体"/>
          <w:b/>
          <w:sz w:val="26"/>
          <w:szCs w:val="26"/>
        </w:rPr>
        <w:t xml:space="preserve">4.1.1 模型选型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bookmarkEnd w:id="44"/>
    <w:bookmarkStart w:id="45" w:name="模型训练与量化"/>
    <w:p>
      <w:pPr>
        <w:spacing w:before="160" w:after="80"/>
        <w:jc w:val="LEFT"/>
      </w:pPr>
      <w:r>
        <w:rPr>
          <w:rFonts w:ascii="SimHei" w:hAnsi="SimHei" w:eastAsia="黑体"/>
          <w:b/>
          <w:sz w:val="26"/>
          <w:szCs w:val="26"/>
        </w:rPr>
        <w:t xml:space="preserve">4.1.2 模型训练与量化</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w:t>
      </w:r>
    </w:p>
    <w:p>
      <w:pPr>
        <w:spacing w:after="120" w:line="440" w:lineRule="exact"/>
        <w:ind w:firstLine="419"/>
      </w:pPr>
      <w:r>
        <w:rPr>
          <w:rFonts w:ascii="SimSun" w:hAnsi="SimSun" w:eastAsia="宋体"/>
          <w:sz w:val="24"/>
          <w:szCs w:val="24"/>
        </w:rPr>
        <w:t xml:space="preserve">训练完成后使用TensorRT进行INT8量化。量化校准数据集选取500张典型图像（覆盖各类光照和工况），保证量化后精度损失小于0.5%。</w:t>
      </w:r>
    </w:p>
    <w:bookmarkEnd w:id="45"/>
    <w:bookmarkStart w:id="46" w:name="后处理与坐标变换"/>
    <w:p>
      <w:pPr>
        <w:spacing w:before="160" w:after="80"/>
        <w:jc w:val="LEFT"/>
      </w:pPr>
      <w:r>
        <w:rPr>
          <w:rFonts w:ascii="SimHei" w:hAnsi="SimHei" w:eastAsia="黑体"/>
          <w:b/>
          <w:sz w:val="26"/>
          <w:szCs w:val="26"/>
        </w:rPr>
        <w:t xml:space="preserve">4.1.3 后处理与坐标变换</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bookmarkEnd w:id="46"/>
    <w:bookmarkEnd w:id="47"/>
    <w:bookmarkStart w:id="48" w:name="基于传统图像处理的道钉螺栓检测"/>
    <w:p>
      <w:pPr>
        <w:spacing w:before="160" w:after="80"/>
        <w:jc w:val="LEFT"/>
      </w:pPr>
      <w:r>
        <w:rPr>
          <w:rFonts w:ascii="SimHei" w:hAnsi="SimHei" w:eastAsia="黑体"/>
          <w:b/>
          <w:sz w:val="26"/>
          <w:szCs w:val="26"/>
        </w:rPr>
        <w:t xml:space="preserve">4.2 基于传统图像处理的道钉/螺栓检测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pStyle w:val="BodyText"/>
      </w:pPr>
      <m:oMathPara>
        <m:oMathParaPr>
          <m:jc m:val="center"/>
        </m:oMathParaPr>
        <m:oMath>
          <m:r>
            <m:rPr>
              <m:nor/>
              <m:sty m:val="p"/>
            </m:rPr>
            <m:t>ZNCC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m:oMath>
      </m:oMathPara>
    </w:p>
    <w:p>
      <w:pPr>
        <w:spacing w:after="120" w:line="440" w:lineRule="exact"/>
        <w:ind w:firstLine="419"/>
      </w:pPr>
      <w:r>
        <w:rPr>
          <w:rFonts w:ascii="SimSun" w:hAnsi="SimSun" w:eastAsia="宋体"/>
          <w:sz w:val="24"/>
          <w:szCs w:val="24"/>
        </w:rPr>
        <w:t xml:space="preserve">ZNCC越接近1表示匹配度越高。当ZNCC低于设定阈值时，判定为缺失或松动。检测算法还利用700mm节距先验进行时序序列分析：若相邻两螺栓间距满足且轮廓特征正常则判定为正常；若超出容差带且轮廓面积异常则判定为缺失/松动；若轴比偏离均值&gt;15%则判定为歪斜。</w:t>
      </w:r>
    </w:p>
    <w:bookmarkEnd w:id="48"/>
    <w:bookmarkStart w:id="49" w:name="基于opencv的焊缝缺陷检测"/>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bookmarkEnd w:id="49"/>
    <w:bookmarkStart w:id="50" w:name="深度学习与传统算法的互补性"/>
    <w:p>
      <w:pPr>
        <w:spacing w:before="160" w:after="80"/>
        <w:jc w:val="LEFT"/>
      </w:pPr>
      <w:r>
        <w:rPr>
          <w:rFonts w:ascii="SimHei" w:hAnsi="SimHei" w:eastAsia="黑体"/>
          <w:b/>
          <w:sz w:val="26"/>
          <w:szCs w:val="26"/>
        </w:rPr>
        <w:t xml:space="preserve">4.4 深度学习与传统算法的互补性</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bookmarkEnd w:id="50"/>
    <w:bookmarkEnd w:id="51"/>
    <w:bookmarkStart w:id="58" w:name="第5章-实验验证与结果分析"/>
    <w:p>
      <w:pPr>
        <w:spacing w:before="280" w:after="120"/>
        <w:jc w:val="CENTER"/>
      </w:pPr>
      <w:r>
        <w:rPr>
          <w:rFonts w:ascii="SimHei" w:hAnsi="SimHei" w:eastAsia="黑体"/>
          <w:b/>
          <w:sz w:val="32"/>
          <w:szCs w:val="32"/>
        </w:rPr>
        <w:t xml:space="preserve">第5章 实验验证与结果分析</w:t>
      </w:r>
    </w:p>
    <w:bookmarkStart w:id="52" w:name="时空对齐精度验证"/>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w:t>
      </w:r>
    </w:p>
    <w:bookmarkEnd w:id="52"/>
    <w:bookmarkStart w:id="53" w:name="几何参数检测精度验证"/>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bookmarkEnd w:id="53"/>
    <w:bookmarkStart w:id="54" w:name="视觉缺陷检测精度验证"/>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bookmarkEnd w:id="54"/>
    <w:bookmarkStart w:id="55" w:name="自适应融合算法验证"/>
    <w:p>
      <w:pPr>
        <w:spacing w:before="160" w:after="80"/>
        <w:jc w:val="LEFT"/>
      </w:pPr>
      <w:r>
        <w:rPr>
          <w:rFonts w:ascii="SimHei" w:hAnsi="SimHei" w:eastAsia="黑体"/>
          <w:b/>
          <w:sz w:val="26"/>
          <w:szCs w:val="26"/>
        </w:rPr>
        <w:t xml:space="preserve">5.4 自适应融合算法验证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融合判定准确率对比：固定权重融合准确率95.1%；本文自适应动态加权融合准确率97.5%，提升2.4个百分点。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bookmarkEnd w:id="55"/>
    <w:bookmarkStart w:id="56" w:name="综合性能对比"/>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bookmarkEnd w:id="56"/>
    <w:bookmarkStart w:id="57" w:name="系统稳定性"/>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bookmarkEnd w:id="57"/>
    <w:bookmarkEnd w:id="58"/>
    <w:bookmarkStart w:id="62" w:name="第6章-讨论"/>
    <w:p>
      <w:pPr>
        <w:spacing w:before="280" w:after="120"/>
        <w:jc w:val="CENTER"/>
      </w:pPr>
      <w:r>
        <w:rPr>
          <w:rFonts w:ascii="SimHei" w:hAnsi="SimHei" w:eastAsia="黑体"/>
          <w:b/>
          <w:sz w:val="32"/>
          <w:szCs w:val="32"/>
        </w:rPr>
        <w:t xml:space="preserve">第6章 讨论</w:t>
      </w:r>
    </w:p>
    <w:bookmarkStart w:id="59" w:name="方法分析"/>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bookmarkEnd w:id="59"/>
    <w:bookmarkStart w:id="60" w:name="研究局限性"/>
    <w:bookmarkEnd w:id="60"/>
    <w:bookmarkStart w:id="61" w:name="未来研究方向"/>
    <w:p>
      <w:pPr>
        <w:spacing w:before="160" w:after="80"/>
        <w:jc w:val="LEFT"/>
      </w:pPr>
      <w:r>
        <w:rPr>
          <w:rFonts w:ascii="SimHei" w:hAnsi="SimHei" w:eastAsia="黑体"/>
          <w:b/>
          <w:sz w:val="26"/>
          <w:szCs w:val="26"/>
        </w:rPr>
        <w:t xml:space="preserve">6.2 传感器可靠性评估方法</w:t>
      </w:r>
    </w:p>
    <w:p>
      <w:pPr>
        <w:spacing w:after="120" w:line="440" w:lineRule="exact"/>
        <w:ind w:firstLine="419"/>
      </w:pPr>
      <w:r>
        <w:rPr>
          <w:rFonts w:ascii="SimSun" w:hAnsi="SimSun" w:eastAsia="宋体"/>
          <w:sz w:val="24"/>
          <w:szCs w:val="24"/>
        </w:rPr>
        <w:t xml:space="preserve">传感器测量数据的可靠性是融合结果正确性的前提条件。本文提出基于多维度统计特征的传感器可靠性评估方法，通过实时监测数据质量指标实现传感器健康状态的在线感知。</w:t>
      </w:r>
    </w:p>
    <w:p>
      <w:pPr>
        <w:spacing w:after="120" w:line="440" w:lineRule="exact"/>
        <w:ind w:firstLine="419"/>
      </w:pPr>
      <w:r>
        <w:rPr>
          <w:rFonts w:ascii="SimSun" w:hAnsi="SimSun" w:eastAsia="宋体"/>
          <w:sz w:val="24"/>
          <w:szCs w:val="24"/>
        </w:rPr>
        <w:t xml:space="preserve">可靠性评估从数据质量、时序一致性、环境适应性三个维度展开。</w:t>
      </w:r>
    </w:p>
    <w:p>
      <w:pPr>
        <w:spacing w:after="120" w:line="440" w:lineRule="exact"/>
        <w:ind w:firstLine="419"/>
      </w:pPr>
      <w:r>
        <w:rPr>
          <w:rFonts w:ascii="SimSun" w:hAnsi="SimSun" w:eastAsia="宋体"/>
          <w:sz w:val="24"/>
          <w:szCs w:val="24"/>
        </w:rPr>
        <w:t xml:space="preserve">（1）数据质量维度：评估传感器输出数据的完整性、有效性和一致性。通过计算连续帧间的统计特征（均值、方差、峰值）检测异常值，通过与历史基线的对比识别传感器性能退化趋势。</w:t>
      </w:r>
    </w:p>
    <w:p>
      <w:pPr>
        <w:spacing w:after="120" w:line="440" w:lineRule="exact"/>
        <w:ind w:firstLine="419"/>
      </w:pPr>
      <w:r>
        <w:rPr>
          <w:rFonts w:ascii="SimSun" w:hAnsi="SimSun" w:eastAsia="宋体"/>
          <w:sz w:val="24"/>
          <w:szCs w:val="24"/>
        </w:rPr>
        <w:t xml:space="preserve">（2）时序一致性维度：基于PTP时钟同步机制监测各传感器时间戳的一致性，通过帧丢失率统计评估数据传输链路的可靠性。当检测到时钟偏差超出阈值或帧丢失率异常升高时，表明传感器或其通信链路存在可靠性问题。</w:t>
      </w:r>
    </w:p>
    <w:p>
      <w:pPr>
        <w:spacing w:after="120" w:line="440" w:lineRule="exact"/>
        <w:ind w:firstLine="419"/>
      </w:pPr>
      <w:r>
        <w:rPr>
          <w:rFonts w:ascii="SimSun" w:hAnsi="SimSun" w:eastAsia="宋体"/>
          <w:sz w:val="24"/>
          <w:szCs w:val="24"/>
        </w:rPr>
        <w:t xml:space="preserve">（3）环境适应性维度：监测传感器工作温度、供电电压等环境参数，当环境条件超出设计工作范围时触发可靠性预警。该维度评估传感器在极端工况下的性能稳定性。</w:t>
      </w:r>
    </w:p>
    <w:p>
      <w:pPr>
        <w:spacing w:after="120" w:line="440" w:lineRule="exact"/>
        <w:ind w:firstLine="419"/>
      </w:pPr>
      <w:r>
        <w:rPr>
          <w:rFonts w:ascii="SimSun" w:hAnsi="SimSun" w:eastAsia="宋体"/>
          <w:sz w:val="24"/>
          <w:szCs w:val="24"/>
        </w:rPr>
        <w:t xml:space="preserve">基于上述三维度评估结果，计算传感器综合可靠性指数ρ∈[0,1]，用于自适应融合算法中动态调整该传感器通道的融合权重。当ρ&lt;0.5时，表明该传感器可靠性显著下降，需人工介入检查。</w:t>
      </w:r>
    </w:p>
    <w:p>
      <w:pPr>
        <w:spacing w:before="160" w:after="80"/>
        <w:jc w:val="LEFT"/>
      </w:pPr>
      <w:r>
        <w:rPr>
          <w:rFonts w:ascii="SimHei" w:hAnsi="SimHei" w:eastAsia="黑体"/>
          <w:b/>
          <w:sz w:val="26"/>
          <w:szCs w:val="26"/>
        </w:rPr>
        <w:t xml:space="preserve">6.3 系统容错与异常检测策略</w:t>
      </w:r>
    </w:p>
    <w:p>
      <w:pPr>
        <w:spacing w:after="120" w:line="440" w:lineRule="exact"/>
        <w:ind w:firstLine="419"/>
      </w:pPr>
      <w:r>
        <w:rPr>
          <w:rFonts w:ascii="SimSun" w:hAnsi="SimSun" w:eastAsia="宋体"/>
          <w:sz w:val="24"/>
          <w:szCs w:val="24"/>
        </w:rPr>
        <w:t xml:space="preserve">实际工程应用中，传感器故障和环境干扰不可避免。本文设计基于可靠性评估的动态降级策略，实现系统在部分传感器失效情况下的持续运行能力。</w:t>
      </w:r>
    </w:p>
    <w:p>
      <w:pPr>
        <w:spacing w:after="120" w:line="440" w:lineRule="exact"/>
        <w:ind w:firstLine="419"/>
      </w:pPr>
      <w:r>
        <w:rPr>
          <w:rFonts w:ascii="SimSun" w:hAnsi="SimSun" w:eastAsia="宋体"/>
          <w:sz w:val="24"/>
          <w:szCs w:val="24"/>
        </w:rPr>
        <w:t xml:space="preserve">（1）软故障容错：当传感器可靠性指数ρ低于阈值（0.5&lt;ρ&lt;0.8）时，融合算法自动降低该通道权重，同时标记对应区段的检测结果为“待复核”状态，提示后续人工核查，但不影响系统继续检测任务。</w:t>
      </w:r>
    </w:p>
    <w:p>
      <w:pPr>
        <w:spacing w:after="120" w:line="440" w:lineRule="exact"/>
        <w:ind w:firstLine="419"/>
      </w:pPr>
      <w:r>
        <w:rPr>
          <w:rFonts w:ascii="SimSun" w:hAnsi="SimSun" w:eastAsia="宋体"/>
          <w:sz w:val="24"/>
          <w:szCs w:val="24"/>
        </w:rPr>
        <w:t xml:space="preserve">（2）硬故障处理：当传感器完全失效（ρ&lt;0.1或数据完全丢失）时，系统立即切换至降级运行模式。该模式下，仅使用正常工作的传感器通道继续检测，检测结果标注“降级运行”标识，提示用户该区段检测功能不完整。同时记录故障日志并通知维护人员。</w:t>
      </w:r>
    </w:p>
    <w:p>
      <w:pPr>
        <w:spacing w:after="120" w:line="440" w:lineRule="exact"/>
        <w:ind w:firstLine="419"/>
      </w:pPr>
      <w:r>
        <w:rPr>
          <w:rFonts w:ascii="SimSun" w:hAnsi="SimSun" w:eastAsia="宋体"/>
          <w:sz w:val="24"/>
          <w:szCs w:val="24"/>
        </w:rPr>
        <w:t xml:space="preserve">（3）异常检测与恢复：系统持续监测传感器可靠性指数的变化趋势。当检测到ρ从低值快速回升时（可能指示瞬时干扰恢复），自动发起传感器重检流程，验证其真实工作状态，避免因瞬时噪声导致的误判切换。</w:t>
      </w:r>
    </w:p>
    <w:p>
      <w:pPr>
        <w:spacing w:before="160" w:after="80"/>
        <w:jc w:val="LEFT"/>
      </w:pPr>
      <w:r>
        <w:rPr>
          <w:rFonts w:ascii="SimHei" w:hAnsi="SimHei" w:eastAsia="黑体"/>
          <w:b/>
          <w:sz w:val="26"/>
          <w:szCs w:val="26"/>
        </w:rPr>
        <w:t xml:space="preserve">6.4 未来研究方向</w:t>
      </w:r>
    </w:p>
    <w:p>
      <w:pPr>
        <w:spacing w:after="120" w:line="440" w:lineRule="exact"/>
        <w:ind w:firstLine="419"/>
      </w:pPr>
      <w:r>
        <w:rPr>
          <w:rFonts w:ascii="SimSun" w:hAnsi="SimSun" w:eastAsia="宋体"/>
          <w:sz w:val="24"/>
          <w:szCs w:val="24"/>
        </w:rPr>
        <w:t xml:space="preserve">（1）引入深度学习姿态估计方法。 深度网络可从数据中学习复杂工况下的姿态-里程映射关系，有望进一步提升复杂工况（弯道、坡道）下的时空对齐精度。</w:t>
      </w:r>
    </w:p>
    <w:p>
      <w:pPr>
        <w:spacing w:after="120" w:line="440" w:lineRule="exact"/>
        <w:ind w:firstLine="419"/>
      </w:pPr>
      <w:r>
        <w:rPr>
          <w:rFonts w:ascii="SimSun" w:hAnsi="SimSun" w:eastAsia="宋体"/>
          <w:sz w:val="24"/>
          <w:szCs w:val="24"/>
        </w:rPr>
        <w:t xml:space="preserve">（2）扩展至更多检测功能。 研究面向钢轨探伤（超声检测）、隧道衬砌检测等更多功能的传感器融合方案，进一步提升系统的综合检测能力。</w:t>
      </w:r>
    </w:p>
    <w:p>
      <w:pPr>
        <w:spacing w:after="120" w:line="440" w:lineRule="exact"/>
        <w:ind w:firstLine="419"/>
      </w:pPr>
      <w:r>
        <w:rPr>
          <w:rFonts w:ascii="SimSun" w:hAnsi="SimSun" w:eastAsia="宋体"/>
          <w:sz w:val="24"/>
          <w:szCs w:val="24"/>
        </w:rPr>
        <w:t xml:space="preserve">（3）轨道健康趋势预测。 结合大数据平台积累的历史检测数据，研究基于时序分析的轨道健康趋势预测方法，从”发现病害”向”预测病害”演进，实现从事后维修到事前预防的范式转变。</w:t>
      </w:r>
    </w:p>
    <w:p>
      <w:pPr>
        <w:spacing w:after="120" w:line="440" w:lineRule="exact"/>
        <w:ind w:firstLine="419"/>
      </w:pPr>
      <w:r>
        <w:rPr>
          <w:rFonts w:ascii="SimSun" w:hAnsi="SimSun" w:eastAsia="宋体"/>
          <w:sz w:val="24"/>
          <w:szCs w:val="24"/>
        </w:rPr>
        <w:t xml:space="preserve">（4）轻量化与边缘部署。 探索轻量化模型和边缘计算优化，使系统可在更低算力的嵌入式平台上部署运行，降低硬件成本，推动技术的广泛推广。</w:t>
      </w:r>
    </w:p>
    <w:bookmarkEnd w:id="61"/>
    <w:bookmarkEnd w:id="62"/>
    <w:bookmarkStart w:id="63" w:name="第7章-结论"/>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本文围绕”统一时空基准下的多源异构数据深度融合”这一核心问题，面向铁路线路综合检测场景，从时空对齐机制、融合判定算法、视觉检测方法三个层面开展了系统性研究。主要工作和贡献包括：</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2026-04-27T21:52:09Z</dcterms:created>
  <dcterms:modified xsi:type="dcterms:W3CDTF">2026-04-27T21:52:09Z</dcterms:modified>
</cp:coreProperties>
</file>

<file path=docProps/custom.xml><?xml version="1.0" encoding="utf-8"?>
<Properties xmlns="http://schemas.openxmlformats.org/officeDocument/2006/custom-properties" xmlns:vt="http://schemas.openxmlformats.org/officeDocument/2006/docPropsVTypes"/>
</file>