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480" w:after="240"/>
        <w:jc w:val="CENTER"/>
      </w:pPr>
      <w:r>
        <w:rPr>
          <w:rFonts w:ascii="SimHei" w:hAnsi="SimHei" w:eastAsia="黑体"/>
          <w:b/>
          <w:sz w:val="36"/>
          <w:szCs w:val="36"/>
        </w:rPr>
        <w:t xml:space="preserve">面向铁路线路的智能视觉与多模态感知融合综合检测系统研究与实现 # 面向铁路线路的智能视觉与多模态感知融合综合检测系统研究与实现</w:t>
      </w:r>
    </w:p>
    <w:bookmarkStart w:id="24" w:name="第1章-绪论"/>
    <w:p>
      <w:pPr>
        <w:spacing w:after="120"/>
        <w:jc w:val="CENTER"/>
      </w:pPr>
      <w:r>
        <w:rPr>
          <w:rFonts w:ascii="SimSun" w:hAnsi="SimSun" w:eastAsia="宋体"/>
          <w:sz w:val="21"/>
          <w:szCs w:val="21"/>
        </w:rPr>
        <w:t xml:space="preserve">第1章 绪论</w:t>
      </w:r>
    </w:p>
    <w:bookmarkStart w:id="20" w:name="研究背景与问题提出"/>
    <w:p>
      <w:pPr>
        <w:spacing w:after="120"/>
        <w:jc w:val="CENTER"/>
      </w:pPr>
      <w:r>
        <w:rPr>
          <w:rFonts w:ascii="SimSun" w:hAnsi="SimSun" w:eastAsia="宋体"/>
          <w:sz w:val="21"/>
          <w:szCs w:val="21"/>
        </w:rPr>
        <w:t xml:space="preserve">1.1 研究背景与问题提出</w:t>
      </w:r>
    </w:p>
    <w:p>
      <w:pPr>
        <w:spacing w:after="120"/>
        <w:jc w:val="CENTER"/>
      </w:pPr>
      <w:r>
        <w:rPr>
          <w:rFonts w:ascii="SimSun" w:hAnsi="SimSun" w:eastAsia="宋体"/>
          <w:sz w:val="21"/>
          <w:szCs w:val="21"/>
        </w:rPr>
        <w:t xml:space="preserve">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pPr>
        <w:spacing w:after="120" w:line="440" w:lineRule="exact"/>
        <w:ind w:firstLine="419"/>
      </w:pPr>
      <w:r>
        <w:rPr>
          <w:rFonts w:ascii="SimSun" w:hAnsi="SimSun" w:eastAsia="宋体"/>
          <w:sz w:val="24"/>
          <w:szCs w:val="24"/>
        </w:rPr>
        <w:t xml:space="preserve">近年来，深度学习和高精度传感器技术的快速发展，使铁路线路检测的智能化水平显著提升。然而，综合检测领域仍面临三个核心矛盾：</w:t>
      </w:r>
    </w:p>
    <w:p>
      <w:pPr>
        <w:spacing w:after="120" w:line="440" w:lineRule="exact"/>
        <w:ind w:firstLine="419"/>
      </w:pPr>
      <w:r>
        <w:rPr>
          <w:rFonts w:ascii="SimSun" w:hAnsi="SimSun" w:eastAsia="宋体"/>
          <w:sz w:val="24"/>
          <w:szCs w:val="24"/>
        </w:rPr>
        <w:t xml:space="preserve">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 传统轨道检查车精度高但调度周期长；便携仪器灵活但人工效率低、数据离散性大。现有方案在”全面覆盖”与”精确测量”之间难以兼得。</w:t>
      </w:r>
    </w:p>
    <w:p>
      <w:pPr>
        <w:spacing w:after="120" w:line="440" w:lineRule="exact"/>
        <w:ind w:firstLine="419"/>
      </w:pPr>
      <w:r>
        <w:rPr>
          <w:rFonts w:ascii="SimSun" w:hAnsi="SimSun" w:eastAsia="宋体"/>
          <w:sz w:val="24"/>
          <w:szCs w:val="24"/>
        </w:rPr>
        <w:t xml:space="preserve">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上述三个矛盾并非某一算法的局部不足，而是系统架构层面的共性瓶颈，制约着铁路线路综合检测技术的进一步发展。</w:t>
      </w:r>
    </w:p>
    <w:bookmarkEnd w:id="20"/>
    <w:bookmarkStart w:id="21" w:name="国内外研究现状与评述"/>
    <w:p>
      <w:pPr>
        <w:spacing w:before="160" w:after="80"/>
        <w:jc w:val="LEFT"/>
      </w:pPr>
      <w:r>
        <w:rPr>
          <w:rFonts w:ascii="SimHei" w:hAnsi="SimHei" w:eastAsia="黑体"/>
          <w:b/>
          <w:sz w:val="26"/>
          <w:szCs w:val="26"/>
        </w:rPr>
        <w:t xml:space="preserve">1.2 国内外研究现状与评述</w:t>
      </w:r>
    </w:p>
    <w:p>
      <w:pPr>
        <w:spacing w:after="120" w:line="440" w:lineRule="exact"/>
        <w:ind w:firstLine="419"/>
      </w:pPr>
      <w:r>
        <w:rPr>
          <w:rFonts w:ascii="SimSun" w:hAnsi="SimSun" w:eastAsia="宋体"/>
          <w:sz w:val="24"/>
          <w:szCs w:val="24"/>
        </w:rPr>
        <w:t xml:space="preserve">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pPr>
        <w:spacing w:after="120" w:line="440" w:lineRule="exact"/>
        <w:ind w:firstLine="419"/>
      </w:pPr>
      <w:r>
        <w:rPr>
          <w:rFonts w:ascii="SimSun" w:hAnsi="SimSun" w:eastAsia="宋体"/>
          <w:sz w:val="24"/>
          <w:szCs w:val="24"/>
        </w:rPr>
        <w:t xml:space="preserve">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pPr>
        <w:spacing w:after="120" w:line="440" w:lineRule="exact"/>
        <w:ind w:firstLine="419"/>
      </w:pPr>
      <w:r>
        <w:rPr>
          <w:rFonts w:ascii="SimSun" w:hAnsi="SimSun" w:eastAsia="宋体"/>
          <w:sz w:val="24"/>
          <w:szCs w:val="24"/>
        </w:rPr>
        <w:t xml:space="preserve">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pPr>
        <w:spacing w:after="120" w:line="440" w:lineRule="exact"/>
        <w:ind w:firstLine="419"/>
      </w:pPr>
      <w:r>
        <w:rPr>
          <w:rFonts w:ascii="SimSun" w:hAnsi="SimSun" w:eastAsia="宋体"/>
          <w:sz w:val="24"/>
          <w:szCs w:val="24"/>
        </w:rPr>
        <w:t xml:space="preserve">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pPr>
        <w:spacing w:after="120" w:line="440" w:lineRule="exact"/>
        <w:ind w:firstLine="419"/>
      </w:pPr>
      <w:r>
        <w:rPr>
          <w:rFonts w:ascii="SimSun" w:hAnsi="SimSun" w:eastAsia="宋体"/>
          <w:sz w:val="24"/>
          <w:szCs w:val="24"/>
        </w:rPr>
        <w:t xml:space="preserve">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bookmarkEnd w:id="21"/>
    <w:bookmarkStart w:id="22" w:name="研究目标与创新点"/>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本文研究目标是：在统一时空基准下，实现视觉检测与几何参数检测的深度融合，提出具有自适应能力的融合判定算法，并在实际线路上完成系统性验证。</w:t>
      </w:r>
    </w:p>
    <w:p>
      <w:pPr>
        <w:spacing w:after="120" w:line="440" w:lineRule="exact"/>
        <w:ind w:firstLine="419"/>
      </w:pPr>
      <w:r>
        <w:rPr>
          <w:rFonts w:ascii="SimSun" w:hAnsi="SimSun" w:eastAsia="宋体"/>
          <w:sz w:val="24"/>
          <w:szCs w:val="24"/>
        </w:rPr>
        <w:t xml:space="preserve">围绕上述目标，本文有三项主要创新贡献：</w:t>
      </w:r>
    </w:p>
    <w:p>
      <w:pPr>
        <w:spacing w:after="120" w:line="440" w:lineRule="exact"/>
        <w:ind w:firstLine="419"/>
      </w:pPr>
      <w:r>
        <w:rPr>
          <w:rFonts w:ascii="SimSun" w:hAnsi="SimSun" w:eastAsia="宋体"/>
          <w:sz w:val="24"/>
          <w:szCs w:val="24"/>
        </w:rPr>
        <w:t xml:space="preserve">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pPr>
        <w:spacing w:after="120" w:line="440" w:lineRule="exact"/>
        <w:ind w:firstLine="419"/>
      </w:pPr>
      <w:r>
        <w:rPr>
          <w:rFonts w:ascii="SimSun" w:hAnsi="SimSun" w:eastAsia="宋体"/>
          <w:sz w:val="24"/>
          <w:szCs w:val="24"/>
        </w:rPr>
        <w:t xml:space="preserve">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bookmarkEnd w:id="22"/>
    <w:bookmarkStart w:id="23" w:name="论文结构安排"/>
    <w:p>
      <w:pPr>
        <w:spacing w:before="160" w:after="80"/>
        <w:jc w:val="LEFT"/>
      </w:pPr>
      <w:r>
        <w:rPr>
          <w:rFonts w:ascii="SimHei" w:hAnsi="SimHei" w:eastAsia="黑体"/>
          <w:b/>
          <w:sz w:val="26"/>
          <w:szCs w:val="26"/>
        </w:rPr>
        <w:t xml:space="preserve">1.4 论文结构安排</w:t>
      </w:r>
    </w:p>
    <w:p>
      <w:pPr>
        <w:spacing w:after="120" w:line="440" w:lineRule="exact"/>
        <w:ind w:firstLine="419"/>
      </w:pPr>
      <w:r>
        <w:rPr>
          <w:rFonts w:ascii="SimSun" w:hAnsi="SimSun" w:eastAsia="宋体"/>
          <w:sz w:val="24"/>
          <w:szCs w:val="24"/>
        </w:rPr>
        <w:t xml:space="preserve">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bookmarkEnd w:id="23"/>
    <w:bookmarkEnd w:id="24"/>
    <w:bookmarkStart w:id="29" w:name="第2章-感知方案与实验设计"/>
    <w:p>
      <w:pPr>
        <w:spacing w:before="280" w:after="120"/>
        <w:jc w:val="CENTER"/>
      </w:pPr>
      <w:r>
        <w:rPr>
          <w:rFonts w:ascii="SimHei" w:hAnsi="SimHei" w:eastAsia="黑体"/>
          <w:b/>
          <w:sz w:val="32"/>
          <w:szCs w:val="32"/>
        </w:rPr>
        <w:t xml:space="preserve">第2章 感知方案与实验设计</w:t>
      </w:r>
    </w:p>
    <w:bookmarkStart w:id="25" w:name="研究对象与实验环境"/>
    <w:p>
      <w:pPr>
        <w:spacing w:before="160" w:after="80"/>
        <w:jc w:val="LEFT"/>
      </w:pPr>
      <w:r>
        <w:rPr>
          <w:rFonts w:ascii="SimHei" w:hAnsi="SimHei" w:eastAsia="黑体"/>
          <w:b/>
          <w:sz w:val="26"/>
          <w:szCs w:val="26"/>
        </w:rPr>
        <w:t xml:space="preserve">2.1 研究对象与实验环境</w:t>
      </w:r>
    </w:p>
    <w:p>
      <w:pPr>
        <w:spacing w:after="120" w:line="440" w:lineRule="exact"/>
        <w:ind w:firstLine="419"/>
      </w:pPr>
      <w:r>
        <w:rPr>
          <w:rFonts w:ascii="SimSun" w:hAnsi="SimSun" w:eastAsia="宋体"/>
          <w:sz w:val="24"/>
          <w:szCs w:val="24"/>
        </w:rPr>
        <w:t xml:space="preserve">本文研究对象为铁路线路综合检测系统，检测对象涵盖钢轨轨面状态、联结件状态、焊缝质量、几何参数等8项功能指标。</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pPr>
        <w:spacing w:after="120" w:line="440" w:lineRule="exact"/>
        <w:ind w:firstLine="419"/>
      </w:pPr>
      <w:r>
        <w:rPr>
          <w:rFonts w:ascii="SimSun" w:hAnsi="SimSun" w:eastAsia="宋体"/>
          <w:sz w:val="24"/>
          <w:szCs w:val="24"/>
        </w:rPr>
        <w:t xml:space="preserve">实验期间天气涵盖晴天、阴天和小雨，环境条件具有代表性。</w:t>
      </w:r>
    </w:p>
    <w:bookmarkEnd w:id="25"/>
    <w:bookmarkStart w:id="26" w:name="感知系统配置与选型依据"/>
    <w:p>
      <w:pPr>
        <w:spacing w:before="160" w:after="80"/>
        <w:jc w:val="LEFT"/>
      </w:pPr>
      <w:r>
        <w:rPr>
          <w:rFonts w:ascii="SimHei" w:hAnsi="SimHei" w:eastAsia="黑体"/>
          <w:b/>
          <w:sz w:val="26"/>
          <w:szCs w:val="26"/>
        </w:rPr>
        <w:t xml:space="preserve">2.2 感知系统配置与选型依据</w:t>
      </w:r>
    </w:p>
    <w:p>
      <w:pPr>
        <w:spacing w:after="120" w:line="440" w:lineRule="exact"/>
        <w:ind w:firstLine="419"/>
      </w:pPr>
      <w:r>
        <w:rPr>
          <w:rFonts w:ascii="SimSun" w:hAnsi="SimSun" w:eastAsia="宋体"/>
          <w:sz w:val="24"/>
          <w:szCs w:val="24"/>
        </w:rPr>
        <w:t xml:space="preserve">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pPr>
        <w:spacing w:after="120" w:line="440" w:lineRule="exact"/>
        <w:ind w:firstLine="419"/>
      </w:pPr>
      <w:r>
        <w:rPr>
          <w:rFonts w:ascii="SimSun" w:hAnsi="SimSun" w:eastAsia="宋体"/>
          <w:sz w:val="24"/>
          <w:szCs w:val="24"/>
        </w:rPr>
        <w:t xml:space="preserve">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pPr>
        <w:spacing w:after="120" w:line="440" w:lineRule="exact"/>
        <w:ind w:firstLine="419"/>
      </w:pPr>
      <w:r>
        <w:rPr>
          <w:rFonts w:ascii="SimSun" w:hAnsi="SimSun" w:eastAsia="宋体"/>
          <w:sz w:val="24"/>
          <w:szCs w:val="24"/>
        </w:rPr>
        <w:t xml:space="preserve">各传感器配置及选型依据如下：</w:t>
      </w:r>
    </w:p>
    <w:p>
      <w:pPr>
        <w:spacing w:after="120" w:line="440" w:lineRule="exact"/>
        <w:ind w:firstLine="419"/>
      </w:pPr>
      <w:r>
        <w:rPr>
          <w:rFonts w:ascii="SimSun" w:hAnsi="SimSun" w:eastAsia="宋体"/>
          <w:sz w:val="24"/>
          <w:szCs w:val="24"/>
        </w:rPr>
        <w:t xml:space="preserve">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pPr>
        <w:spacing w:after="120" w:line="440" w:lineRule="exact"/>
        <w:ind w:firstLine="419"/>
      </w:pPr>
      <w:r>
        <w:rPr>
          <w:rFonts w:ascii="SimSun" w:hAnsi="SimSun" w:eastAsia="宋体"/>
          <w:sz w:val="24"/>
          <w:szCs w:val="24"/>
        </w:rPr>
        <w:t xml:space="preserve">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pPr>
        <w:spacing w:after="120" w:line="440" w:lineRule="exact"/>
        <w:ind w:firstLine="419"/>
      </w:pPr>
      <w:r>
        <w:rPr>
          <w:rFonts w:ascii="SimSun" w:hAnsi="SimSun" w:eastAsia="宋体"/>
          <w:sz w:val="24"/>
          <w:szCs w:val="24"/>
        </w:rPr>
        <w:t xml:space="preserve">HWT905姿态传感器（1组）：采样率200Hz，三轴姿态角分辨率0.05°，PTP时间同步。选型依据：200Hz满足车体振动频带（0~20Hz）的奈奎斯特采样要求；0.05°分辨率对应约0.15mm的等效高低误差，通过多次平均可有效抑制量化噪声。</w:t>
      </w:r>
    </w:p>
    <w:p>
      <w:pPr>
        <w:spacing w:after="120" w:line="440" w:lineRule="exact"/>
        <w:ind w:firstLine="419"/>
      </w:pPr>
      <w:r>
        <w:rPr>
          <w:rFonts w:ascii="SimSun" w:hAnsi="SimSun" w:eastAsia="宋体"/>
          <w:sz w:val="24"/>
          <w:szCs w:val="24"/>
        </w:rPr>
        <w:t xml:space="preserve">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pPr>
        <w:spacing w:after="120" w:line="440" w:lineRule="exact"/>
        <w:ind w:firstLine="419"/>
      </w:pPr>
      <w:r>
        <w:rPr>
          <w:rFonts w:ascii="SimSun" w:hAnsi="SimSun" w:eastAsia="宋体"/>
          <w:sz w:val="24"/>
          <w:szCs w:val="24"/>
        </w:rPr>
        <w:t xml:space="preserve">测距传感器矩阵：采样率约1000Hz，精度±0.1mm。选型依据：直接测量左右轨内侧距，测量值与车体姿态角无关，避免了横滚角对轨距测量的干扰，简化了测量模型并提高了鲁棒性。</w:t>
      </w:r>
    </w:p>
    <w:bookmarkEnd w:id="26"/>
    <w:bookmarkStart w:id="27" w:name="实验评价指标体系"/>
    <w:p>
      <w:pPr>
        <w:spacing w:before="160" w:after="80"/>
        <w:jc w:val="LEFT"/>
      </w:pPr>
      <w:r>
        <w:rPr>
          <w:rFonts w:ascii="SimHei" w:hAnsi="SimHei" w:eastAsia="黑体"/>
          <w:b/>
          <w:sz w:val="26"/>
          <w:szCs w:val="26"/>
        </w:rPr>
        <w:t xml:space="preserve">2.3 实验评价指标体系</w:t>
      </w:r>
    </w:p>
    <w:p>
      <w:pPr>
        <w:spacing w:after="120" w:line="440" w:lineRule="exact"/>
        <w:ind w:firstLine="419"/>
      </w:pPr>
      <w:r>
        <w:rPr>
          <w:rFonts w:ascii="SimSun" w:hAnsi="SimSun" w:eastAsia="宋体"/>
          <w:sz w:val="24"/>
          <w:szCs w:val="24"/>
        </w:rPr>
        <w:t xml:space="preserve">为全面评估系统性能，本文建立了涵盖精度、鲁棒性、可靠性三个维度的评价指标体系：</w:t>
      </w:r>
    </w:p>
    <w:p>
      <w:pPr>
        <w:spacing w:after="120" w:line="440" w:lineRule="exact"/>
        <w:ind w:firstLine="419"/>
      </w:pPr>
      <w:r>
        <w:rPr>
          <w:rFonts w:ascii="SimSun" w:hAnsi="SimSun" w:eastAsia="宋体"/>
          <w:sz w:val="24"/>
          <w:szCs w:val="24"/>
        </w:rPr>
        <w:t xml:space="preserve">精度指标：各检测功能的绝对误差和相对误差，以标准轨段标定值或人工测量值为Ground Truth，采用均值误差和标准差描述；时空对齐精度以光学标记点坐标为参考基准。</w:t>
      </w:r>
    </w:p>
    <w:p>
      <w:pPr>
        <w:spacing w:after="120" w:line="440" w:lineRule="exact"/>
        <w:ind w:firstLine="419"/>
      </w:pPr>
      <w:r>
        <w:rPr>
          <w:rFonts w:ascii="SimSun" w:hAnsi="SimSun" w:eastAsia="宋体"/>
          <w:sz w:val="24"/>
          <w:szCs w:val="24"/>
        </w:rPr>
        <w:t xml:space="preserve">鲁棒性指标：在验证集中注入不同比例（5%、10%、20%）的测量噪声，评估融合算法的性能退化程度，以准确率下降幅度为鲁棒性度量。</w:t>
      </w:r>
    </w:p>
    <w:p>
      <w:pPr>
        <w:spacing w:after="120" w:line="440" w:lineRule="exact"/>
        <w:ind w:firstLine="419"/>
      </w:pPr>
      <w:r>
        <w:rPr>
          <w:rFonts w:ascii="SimSun" w:hAnsi="SimSun" w:eastAsia="宋体"/>
          <w:sz w:val="24"/>
          <w:szCs w:val="24"/>
        </w:rPr>
        <w:t xml:space="preserve">可靠性指标：在传感器性能退化条件下（模拟镜头污染、激光功率衰减），评估自适应融合算法的性能稳定性。</w:t>
      </w:r>
    </w:p>
    <w:bookmarkEnd w:id="27"/>
    <w:bookmarkStart w:id="28" w:name="系统技术指标"/>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bookmarkEnd w:id="28"/>
    <w:bookmarkEnd w:id="29"/>
    <w:bookmarkStart w:id="43" w:name="第3章-多源数据融合方法"/>
    <w:p>
      <w:pPr>
        <w:spacing w:before="280" w:after="120"/>
        <w:jc w:val="CENTER"/>
      </w:pPr>
      <w:r>
        <w:rPr>
          <w:rFonts w:ascii="SimHei" w:hAnsi="SimHei" w:eastAsia="黑体"/>
          <w:b/>
          <w:sz w:val="32"/>
          <w:szCs w:val="32"/>
        </w:rPr>
        <w:t xml:space="preserve">第3章 多源数据融合方法</w:t>
      </w:r>
    </w:p>
    <w:bookmarkStart w:id="33" w:name="时空对齐机制"/>
    <w:p>
      <w:pPr>
        <w:spacing w:before="160" w:after="80"/>
        <w:jc w:val="LEFT"/>
      </w:pPr>
      <w:r>
        <w:rPr>
          <w:rFonts w:ascii="SimHei" w:hAnsi="SimHei" w:eastAsia="黑体"/>
          <w:b/>
          <w:sz w:val="26"/>
          <w:szCs w:val="26"/>
        </w:rPr>
        <w:t xml:space="preserve">3.1 时空对齐机制</w:t>
      </w:r>
    </w:p>
    <w:bookmarkStart w:id="30" w:name="问题定义"/>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综合检测系统的首要问题是：8种异构传感器在时间上独立采样、空间上分布安装，如何建立统一的时空基准，使来自不同传感器的数据能够精确关联到同一空间位置？</w:t>
      </w:r>
    </w:p>
    <w:p>
      <w:pPr>
        <w:spacing w:after="120" w:line="440" w:lineRule="exact"/>
        <w:ind w:firstLine="419"/>
      </w:pPr>
      <w:r>
        <w:rPr>
          <w:rFonts w:ascii="SimSun" w:hAnsi="SimSun" w:eastAsia="宋体"/>
          <w:sz w:val="24"/>
          <w:szCs w:val="24"/>
        </w:rPr>
        <w:t xml:space="preserve">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pPr>
        <w:spacing w:after="120" w:line="440" w:lineRule="exact"/>
        <w:ind w:firstLine="419"/>
      </w:pPr>
      <w:r>
        <w:rPr>
          <w:rFonts w:ascii="SimSun" w:hAnsi="SimSun" w:eastAsia="宋体"/>
          <w:sz w:val="24"/>
          <w:szCs w:val="24"/>
        </w:rPr>
        <w:t xml:space="preserve">这两种策略的共性缺陷是：时空对齐精度受车体姿态和行进速度影响，在复杂工况下误差显著增大，无法满足精确融合判定的需求。</w:t>
      </w:r>
    </w:p>
    <w:bookmarkEnd w:id="30"/>
    <w:bookmarkStart w:id="31" w:name="三键索引机制"/>
    <w:p>
      <w:pPr>
        <w:spacing w:before="160" w:after="80"/>
        <w:jc w:val="LEFT"/>
      </w:pPr>
      <w:r>
        <w:rPr>
          <w:rFonts w:ascii="SimHei" w:hAnsi="SimHei" w:eastAsia="黑体"/>
          <w:b/>
          <w:sz w:val="26"/>
          <w:szCs w:val="26"/>
        </w:rPr>
        <w:t xml:space="preserve">3.1.2 三键索引机制</w:t>
      </w:r>
    </w:p>
    <w:p>
      <w:pPr>
        <w:spacing w:after="120" w:line="440" w:lineRule="exact"/>
        <w:ind w:firstLine="419"/>
      </w:pPr>
      <w:r>
        <w:rPr>
          <w:rFonts w:ascii="SimSun" w:hAnsi="SimSun" w:eastAsia="宋体"/>
          <w:sz w:val="24"/>
          <w:szCs w:val="24"/>
        </w:rPr>
        <w:t xml:space="preserve">本文提出基于”帧编号—里程坐标—UTC时间戳”三键索引的时空对齐机制，从系统架构层面为多源异构数据建立统一时空基准。</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pStyle w:val="BodyText"/>
      </w:pPr>
      <m:oMathPara>
        <m:oMathParaPr>
          <m:jc m:val="center"/>
        </m:oMathParaPr>
        <m:oMath>
          <m:sSub>
            <m:e>
              <m:r>
                <m:t>s</m:t>
              </m:r>
            </m:e>
            <m:sub>
              <m:r>
                <m:t>k</m:t>
              </m:r>
            </m:sub>
          </m:sSub>
          <m:r>
            <m:rPr>
              <m:sty m:val="p"/>
            </m:rPr>
            <m:t>=</m:t>
          </m:r>
          <m:f>
            <m:fPr>
              <m:type m:val="bar"/>
            </m:fPr>
            <m:num>
              <m:sSub>
                <m:e>
                  <m:r>
                    <m:t>L</m:t>
                  </m:r>
                </m:e>
                <m:sub>
                  <m:r>
                    <m:rPr>
                      <m:nor/>
                      <m:sty m:val="p"/>
                    </m:rPr>
                    <m:t>standard</m:t>
                  </m:r>
                </m:sub>
              </m:sSub>
            </m:num>
            <m:den>
              <m:sSubSup>
                <m:e>
                  <m:r>
                    <m:t>N</m:t>
                  </m:r>
                </m:e>
                <m:sub>
                  <m:r>
                    <m:rPr>
                      <m:nor/>
                      <m:sty m:val="p"/>
                    </m:rPr>
                    <m:t>encoder</m:t>
                  </m:r>
                </m:sub>
                <m:sup>
                  <m:d>
                    <m:dPr>
                      <m:begChr m:val="("/>
                      <m:endChr m:val=")"/>
                      <m:sepChr m:val=""/>
                      <m:grow/>
                    </m:dPr>
                    <m:e>
                      <m:r>
                        <m:rPr>
                          <m:nor/>
                          <m:sty m:val="p"/>
                        </m:rPr>
                        <m:t>standard</m:t>
                      </m:r>
                    </m:e>
                  </m:d>
                </m:sup>
              </m:sSubSup>
            </m:den>
          </m:f>
          <m:r>
            <m:rPr>
              <m:sty m:val="p"/>
            </m:rPr>
            <m:t>⋅</m:t>
          </m:r>
          <m:sSubSup>
            <m:e>
              <m:r>
                <m:t>N</m:t>
              </m:r>
            </m:e>
            <m:sub>
              <m:r>
                <m:rPr>
                  <m:nor/>
                  <m:sty m:val="p"/>
                </m:rPr>
                <m:t>encoder</m:t>
              </m:r>
            </m:sub>
            <m:sup>
              <m:d>
                <m:dPr>
                  <m:begChr m:val="("/>
                  <m:endChr m:val=")"/>
                  <m:sepChr m:val=""/>
                  <m:grow/>
                </m:dPr>
                <m:e>
                  <m:r>
                    <m:t>k</m:t>
                  </m:r>
                </m:e>
              </m:d>
            </m:sup>
          </m:sSubSup>
        </m:oMath>
      </m:oMathPara>
    </w:p>
    <w:p>
      <w:pPr>
        <w:spacing w:after="120" w:line="440" w:lineRule="exact"/>
        <w:ind w:firstLine="419"/>
      </w:pPr>
      <w:r>
        <w:rPr>
          <w:rFonts w:ascii="SimSun" w:hAnsi="SimSun" w:eastAsia="宋体"/>
          <w:sz w:val="24"/>
          <w:szCs w:val="24"/>
        </w:rPr>
        <w:t xml:space="preserve">标定过程消除了轮径磨损和打滑引入的里程累积误差。</w:t>
      </w:r>
    </w:p>
    <w:p>
      <w:pPr>
        <w:spacing w:after="120" w:line="440" w:lineRule="exact"/>
        <w:ind w:firstLine="419"/>
      </w:pPr>
      <w:r>
        <w:rPr>
          <w:rFonts w:ascii="SimSun" w:hAnsi="SimSun" w:eastAsia="宋体"/>
          <w:sz w:val="24"/>
          <w:szCs w:val="24"/>
        </w:rPr>
        <w:t xml:space="preserve">UTC时间戳（t_k）：每帧数据附带IEEE 1588 PTP同步的UTC时间戳，精度优于1μs，确保跨传感器时间基准统一。</w:t>
      </w:r>
    </w:p>
    <w:p>
      <w:pPr>
        <w:spacing w:after="120" w:line="440" w:lineRule="exact"/>
        <w:ind w:firstLine="419"/>
      </w:pPr>
      <w:r>
        <w:rPr>
          <w:rFonts w:ascii="SimSun" w:hAnsi="SimSun" w:eastAsia="宋体"/>
          <w:sz w:val="24"/>
          <w:szCs w:val="24"/>
        </w:rPr>
        <w:t xml:space="preserve">三键索引元组：任意检测数据点D的时空坐标记为：</w:t>
      </w:r>
    </w:p>
    <w:p>
      <w:pPr>
        <w:pStyle w:val="BodyText"/>
      </w:pPr>
      <m:oMathPara>
        <m:oMathParaPr>
          <m:jc m:val="center"/>
        </m:oMathParaPr>
        <m:oMath>
          <m:r>
            <m:t>T</m:t>
          </m:r>
          <m:d>
            <m:dPr>
              <m:begChr m:val="("/>
              <m:endChr m:val=")"/>
              <m:sepChr m:val=""/>
              <m:grow/>
            </m:dPr>
            <m:e>
              <m:r>
                <m:t>D</m:t>
              </m:r>
            </m:e>
          </m:d>
          <m:r>
            <m:rPr>
              <m:sty m:val="p"/>
            </m:rPr>
            <m:t>=</m:t>
          </m:r>
          <m:r>
            <m:rPr>
              <m:sty m:val="p"/>
            </m:rPr>
            <m:t>⟨</m:t>
          </m:r>
          <m:sSub>
            <m:e>
              <m:r>
                <m:rPr>
                  <m:nor/>
                  <m:sty m:val="p"/>
                </m:rPr>
                <m:t>FID</m:t>
              </m:r>
            </m:e>
            <m:sub>
              <m:r>
                <m:t>k</m:t>
              </m:r>
            </m:sub>
          </m:sSub>
          <m:r>
            <m:rPr>
              <m:sty m:val="p"/>
            </m:rPr>
            <m:t>,</m:t>
          </m:r>
          <m:r>
            <m:t> </m:t>
          </m:r>
          <m:sSub>
            <m:e>
              <m:r>
                <m:t>s</m:t>
              </m:r>
            </m:e>
            <m:sub>
              <m:r>
                <m:t>k</m:t>
              </m:r>
            </m:sub>
          </m:sSub>
          <m:r>
            <m:rPr>
              <m:sty m:val="p"/>
            </m:rPr>
            <m:t>,</m:t>
          </m:r>
          <m:r>
            <m:t> </m:t>
          </m:r>
          <m:sSub>
            <m:e>
              <m:r>
                <m:t>t</m:t>
              </m:r>
            </m:e>
            <m:sub>
              <m:r>
                <m:t>k</m:t>
              </m:r>
            </m:sub>
          </m:sSub>
          <m:r>
            <m:rPr>
              <m:sty m:val="p"/>
            </m:rPr>
            <m:t>⟩</m:t>
          </m:r>
        </m:oMath>
      </m:oMathPara>
    </w:p>
    <w:p>
      <w:pPr>
        <w:spacing w:after="120" w:line="440" w:lineRule="exact"/>
        <w:ind w:firstLine="419"/>
      </w:pPr>
      <w:r>
        <w:rPr>
          <w:rFonts w:ascii="SimSun" w:hAnsi="SimSun" w:eastAsia="宋体"/>
          <w:sz w:val="24"/>
          <w:szCs w:val="24"/>
        </w:rPr>
        <w:t xml:space="preserve">时空等价关系：任意两条数据和的时空等价关系定义为：</w:t>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spacing w:after="120" w:line="440" w:lineRule="exact"/>
        <w:ind w:firstLine="419"/>
      </w:pPr>
      <w:r>
        <w:rPr>
          <w:rFonts w:ascii="SimSun" w:hAnsi="SimSun" w:eastAsia="宋体"/>
          <w:sz w:val="24"/>
          <w:szCs w:val="24"/>
        </w:rPr>
        <w:t xml:space="preserve">其中，，。</w:t>
      </w:r>
    </w:p>
    <w:bookmarkEnd w:id="31"/>
    <w:bookmarkStart w:id="32" w:name="物理实现"/>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spacing w:after="120" w:line="440" w:lineRule="exact"/>
        <w:ind w:firstLine="419"/>
      </w:pPr>
      <w:r>
        <w:rPr>
          <w:rFonts w:ascii="SimSun" w:hAnsi="SimSun" w:eastAsia="宋体"/>
          <w:sz w:val="24"/>
          <w:szCs w:val="24"/>
        </w:rPr>
        <w:t xml:space="preserve">该机制的核心价值在于：8种传感器的原始数据在硬件层面就完成了帧边界对齐，后续融合算法直接基于精确关联的数据帧进行计算，消除了传统方案中近似对齐带来的系统性空间错位误差。</w:t>
      </w:r>
    </w:p>
    <w:bookmarkEnd w:id="32"/>
    <w:bookmarkEnd w:id="33"/>
    <w:bookmarkStart w:id="34" w:name="三级融合框架"/>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多源数据融合的价值不在于”多”，而在于”融合”——不同传感器从不同角度观测同一物理量，融合后的判定结果比任何单一数据源更可信。然而，融合的层次和方式直接影响最终效果。</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w:t>
      </w:r>
    </w:p>
    <w:p>
      <w:pPr>
        <w:spacing w:after="120" w:line="440" w:lineRule="exact"/>
        <w:ind w:firstLine="419"/>
      </w:pPr>
      <w:r>
        <w:rPr>
          <w:rFonts w:ascii="SimSun" w:hAnsi="SimSun" w:eastAsia="宋体"/>
          <w:sz w:val="24"/>
          <w:szCs w:val="24"/>
        </w:rPr>
        <w:t xml:space="preserve">第一级（时间对齐）：将8种异构传感器的原始数据按帧编号精确对齐，输出帧对齐数据序列，对应3.1节三键索引机制。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第二级（空间关联）：对帧对齐数据进行空间坐标变换，将各传感器的观测数据统一映射到轨道坐标系下。对于视觉检测数据，经姿态角修正后的里程坐标为：</w:t>
      </w:r>
    </w:p>
    <w:p>
      <w:pPr>
        <w:pStyle w:val="BodyText"/>
      </w:pPr>
      <m:oMathPara>
        <m:oMathParaPr>
          <m:jc m:val="center"/>
        </m:oMathParaPr>
        <m:oMath>
          <m:sSub>
            <m:e>
              <m:r>
                <m:t>X</m:t>
              </m:r>
            </m:e>
            <m:sub>
              <m:r>
                <m:rPr>
                  <m:nor/>
                  <m:sty m:val="p"/>
                </m:rPr>
                <m:t>corrected</m:t>
              </m:r>
            </m:sub>
          </m:sSub>
          <m:r>
            <m:rPr>
              <m:sty m:val="p"/>
            </m:rPr>
            <m:t>=</m:t>
          </m:r>
          <m:sSub>
            <m:e>
              <m:r>
                <m:t>X</m:t>
              </m:r>
            </m:e>
            <m:sub>
              <m:r>
                <m:rPr>
                  <m:nor/>
                  <m:sty m:val="p"/>
                </m:rPr>
                <m:t>raw</m:t>
              </m:r>
            </m:sub>
          </m:sSub>
          <m:r>
            <m:rPr>
              <m:sty m:val="p"/>
            </m:rPr>
            <m:t>−</m:t>
          </m:r>
          <m:r>
            <m:t>L</m:t>
          </m:r>
          <m:r>
            <m:rPr>
              <m:sty m:val="p"/>
            </m:rPr>
            <m:t>⋅</m:t>
          </m:r>
          <m:d>
            <m:dPr>
              <m:begChr m:val="("/>
              <m:endChr m:val=")"/>
              <m:sepChr m:val=""/>
              <m:grow/>
            </m:dPr>
            <m:e>
              <m:r>
                <m:t>1</m:t>
              </m:r>
              <m:r>
                <m:rPr>
                  <m:sty m:val="p"/>
                </m:rPr>
                <m:t>−</m:t>
              </m:r>
              <m:r>
                <m:rPr>
                  <m:sty m:val="p"/>
                </m:rPr>
                <m:t>cos</m:t>
              </m:r>
              <m:sSub>
                <m:e>
                  <m:r>
                    <m:t>θ</m:t>
                  </m:r>
                </m:e>
                <m:sub>
                  <m:r>
                    <m:rPr>
                      <m:nor/>
                      <m:sty m:val="p"/>
                    </m:rPr>
                    <m:t>pitch</m:t>
                  </m:r>
                </m:sub>
              </m:sSub>
            </m:e>
          </m:d>
        </m:oMath>
      </m:oMathPara>
    </w:p>
    <w:p>
      <w:pPr>
        <w:spacing w:after="120" w:line="440" w:lineRule="exact"/>
        <w:ind w:firstLine="419"/>
      </w:pPr>
      <w:r>
        <w:rPr>
          <w:rFonts w:ascii="SimSun" w:hAnsi="SimSun" w:eastAsia="宋体"/>
          <w:sz w:val="24"/>
          <w:szCs w:val="24"/>
        </w:rPr>
        <w:t xml:space="preserve">其中，为传感器至轨面高度，为俯仰角。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第三级（判级融合）：在统一空间坐标下，对多维度数据（2D图像特征、3D点云几何、IMU振动信号）进行缺陷类型和等级的联合判定，数学方法见3.3节。</w:t>
      </w:r>
    </w:p>
    <w:bookmarkEnd w:id="34"/>
    <w:bookmarkStart w:id="38" w:name="自适应动态加权融合算法"/>
    <w:p>
      <w:pPr>
        <w:spacing w:before="160" w:after="80"/>
        <w:jc w:val="LEFT"/>
      </w:pPr>
      <w:r>
        <w:rPr>
          <w:rFonts w:ascii="SimHei" w:hAnsi="SimHei" w:eastAsia="黑体"/>
          <w:b/>
          <w:sz w:val="26"/>
          <w:szCs w:val="26"/>
        </w:rPr>
        <w:t xml:space="preserve">3.3 自适应动态加权融合算法</w:t>
      </w:r>
    </w:p>
    <w:bookmarkStart w:id="35" w:name="现有方法的局限性"/>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现有融合算法中，权重配置存在两种常见方法：经验固定权重（缺点是缺乏理论依据，无法适应传感器性能退化）和等权平均（缺点是忽略不同传感器在不同缺陷类型上的固有性能差异）。</w:t>
      </w:r>
    </w:p>
    <w:bookmarkEnd w:id="35"/>
    <w:bookmarkStart w:id="36" w:name="自适应权重计算"/>
    <w:p>
      <w:pPr>
        <w:spacing w:before="160" w:after="80"/>
        <w:jc w:val="LEFT"/>
      </w:pPr>
      <w:r>
        <w:rPr>
          <w:rFonts w:ascii="SimHei" w:hAnsi="SimHei" w:eastAsia="黑体"/>
          <w:b/>
          <w:sz w:val="26"/>
          <w:szCs w:val="26"/>
        </w:rPr>
        <w:t xml:space="preserve">3.3.2 自适应权重计算</w:t>
      </w:r>
    </w:p>
    <w:p>
      <w:pPr>
        <w:spacing w:after="120" w:line="440" w:lineRule="exact"/>
        <w:ind w:firstLine="419"/>
      </w:pPr>
      <w:r>
        <w:rPr>
          <w:rFonts w:ascii="SimSun" w:hAnsi="SimSun" w:eastAsia="宋体"/>
          <w:sz w:val="24"/>
          <w:szCs w:val="24"/>
        </w:rPr>
        <w:t xml:space="preserve">本文提出基于检测可靠性因子的自适应权重计算方法，核心思想是：融合权重应由各维度检测器的实时可信度决定，可信度高的维度获得更大权重，可信度低的维度自动降低权重。</w:t>
      </w:r>
    </w:p>
    <w:p>
      <w:pPr>
        <w:spacing w:after="120" w:line="440" w:lineRule="exact"/>
        <w:ind w:firstLine="419"/>
      </w:pPr>
      <w:r>
        <w:rPr>
          <w:rFonts w:ascii="SimSun" w:hAnsi="SimSun" w:eastAsia="宋体"/>
          <w:sz w:val="24"/>
          <w:szCs w:val="24"/>
        </w:rPr>
        <w:t xml:space="preserve">定义各维度检测器在时刻的可靠性因子为：</w:t>
      </w:r>
    </w:p>
    <w:p>
      <w:pPr>
        <w:pStyle w:val="BodyText"/>
      </w:pPr>
      <m:oMathPara>
        <m:oMathParaPr>
          <m:jc m:val="center"/>
        </m:oMathParaPr>
        <m:oMath>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其中，为维度置信度，为该维度置信度的滑动标准差（窗口宽度帧）。的物理含义是：置信度高且稳定的检测器，其可靠性因子大，应在融合中占据更大权重。</w:t>
      </w:r>
    </w:p>
    <w:p>
      <w:pPr>
        <w:spacing w:after="120" w:line="440" w:lineRule="exact"/>
        <w:ind w:firstLine="419"/>
      </w:pPr>
      <w:r>
        <w:rPr>
          <w:rFonts w:ascii="SimSun" w:hAnsi="SimSun" w:eastAsia="宋体"/>
          <w:sz w:val="24"/>
          <w:szCs w:val="24"/>
        </w:rPr>
        <w:t xml:space="preserve">各维度权重由可靠性归一化得到：</w:t>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显然，，权重始终归一化。</w:t>
      </w:r>
    </w:p>
    <w:bookmarkEnd w:id="36"/>
    <w:bookmarkStart w:id="37" w:name="融合置信度的几何平均计算"/>
    <w:p>
      <w:pPr>
        <w:spacing w:before="160" w:after="80"/>
        <w:jc w:val="LEFT"/>
      </w:pPr>
      <w:r>
        <w:rPr>
          <w:rFonts w:ascii="SimHei" w:hAnsi="SimHei" w:eastAsia="黑体"/>
          <w:b/>
          <w:sz w:val="26"/>
          <w:szCs w:val="26"/>
        </w:rPr>
        <w:t xml:space="preserve">3.3.3 融合置信度的几何平均计算</w:t>
      </w:r>
    </w:p>
    <w:p>
      <w:pPr>
        <w:spacing w:after="120" w:line="440" w:lineRule="exact"/>
        <w:ind w:firstLine="419"/>
      </w:pPr>
      <w:r>
        <w:rPr>
          <w:rFonts w:ascii="SimSun" w:hAnsi="SimSun" w:eastAsia="宋体"/>
          <w:sz w:val="24"/>
          <w:szCs w:val="24"/>
        </w:rPr>
        <w:t xml:space="preserve">融合置信度采用加权几何平均计算：</w:t>
      </w:r>
    </w:p>
    <w:p>
      <w:pPr>
        <w:pStyle w:val="BodyText"/>
      </w:pPr>
      <m:oMathPara>
        <m:oMathParaPr>
          <m:jc m:val="center"/>
        </m:oMathParaPr>
        <m:oMath>
          <m:sSub>
            <m:e>
              <m:r>
                <m:t>C</m:t>
              </m:r>
            </m:e>
            <m:sub>
              <m:r>
                <m:rPr>
                  <m:nor/>
                  <m:sty m:val="p"/>
                </m:rPr>
                <m:t>fusion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m:oMath>
      </m:oMathPara>
    </w:p>
    <w:p>
      <w:pPr>
        <w:spacing w:after="120" w:line="440" w:lineRule="exact"/>
        <w:ind w:firstLine="419"/>
      </w:pPr>
      <w:r>
        <w:rPr>
          <w:rFonts w:ascii="SimSun" w:hAnsi="SimSun" w:eastAsia="宋体"/>
          <w:sz w:val="24"/>
          <w:szCs w:val="24"/>
        </w:rPr>
        <w:t xml:space="preserve">几何平均的选择基于以下关键考虑：几何平均对单一低置信度具有放大效应——当任意时，。这意味着即使2D图像和3D点云都给出较高置信度，但若IMU检测到异常振动模式（表明该位置确实存在结构性问题），几何平均的乘积特性使最终置信度不会因某一维度的低值而虚高，有效防止误判在多维度间的传播。</w:t>
      </w:r>
    </w:p>
    <w:bookmarkEnd w:id="37"/>
    <w:bookmarkEnd w:id="38"/>
    <w:bookmarkStart w:id="42" w:name="高低检测双速ekf融合算法"/>
    <w:p>
      <w:pPr>
        <w:spacing w:before="160" w:after="80"/>
        <w:jc w:val="LEFT"/>
      </w:pPr>
      <w:r>
        <w:rPr>
          <w:rFonts w:ascii="SimHei" w:hAnsi="SimHei" w:eastAsia="黑体"/>
          <w:b/>
          <w:sz w:val="26"/>
          <w:szCs w:val="26"/>
        </w:rPr>
        <w:t xml:space="preserve">3.4 高低检测双速EKF融合算法</w:t>
      </w:r>
    </w:p>
    <w:bookmarkStart w:id="39" w:name="问题背景"/>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line="440" w:lineRule="exact"/>
        <w:ind w:firstLine="419"/>
      </w:pPr>
      <w:r>
        <w:rPr>
          <w:rFonts w:ascii="SimSun" w:hAnsi="SimSun" w:eastAsia="宋体"/>
          <w:sz w:val="24"/>
          <w:szCs w:val="24"/>
        </w:rPr>
        <w:t xml:space="preserve">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bookmarkEnd w:id="39"/>
    <w:bookmarkStart w:id="40" w:name="双速架构设计"/>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本文设计双速EKF融合架构，分别处理两个不同频带的物理过程：</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快回路（200Hz）：利用HWT905姿态传感器（200Hz采样）的横滚角和俯仰角数据，实时估计并补偿车体的高频振动。快回路响应时间，满足车体振动的实时校正需求。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慢回路（10Hz）：基于单点测距传感器（2000Hz采样）累积数据，估计轨道高程真值。慢回路状态向量为：</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spacing w:after="120" w:line="440" w:lineRule="exact"/>
        <w:ind w:firstLine="419"/>
      </w:pPr>
      <w:r>
        <w:rPr>
          <w:rFonts w:ascii="SimSun" w:hAnsi="SimSun" w:eastAsia="宋体"/>
          <w:sz w:val="24"/>
          <w:szCs w:val="24"/>
        </w:rPr>
        <w:t xml:space="preserve">其中，为轨道高程（待估计真值），为车体相对轨道的高差，为车体垂向速度。</w:t>
      </w:r>
    </w:p>
    <w:p>
      <w:pPr>
        <w:spacing w:after="120" w:line="440" w:lineRule="exact"/>
        <w:ind w:firstLine="419"/>
      </w:pPr>
      <w:r>
        <w:rPr>
          <w:rFonts w:ascii="SimSun" w:hAnsi="SimSun" w:eastAsia="宋体"/>
          <w:sz w:val="24"/>
          <w:szCs w:val="24"/>
        </w:rPr>
        <w:t xml:space="preserve">慢回路观测方程为：</w:t>
      </w:r>
    </w:p>
    <w:p>
      <w:pPr>
        <w:pStyle w:val="BodyText"/>
      </w:pPr>
      <m:oMathPara>
        <m:oMathParaPr>
          <m:jc m:val="center"/>
        </m:oMathParaPr>
        <m:oMath>
          <m:sSub>
            <m:e>
              <m:r>
                <m:t>z</m:t>
              </m:r>
            </m:e>
            <m:sub>
              <m:r>
                <m:t>k</m:t>
              </m:r>
            </m:sub>
          </m:sSub>
          <m:r>
            <m:rPr>
              <m:sty m:val="p"/>
            </m:rPr>
            <m:t>=</m:t>
          </m:r>
          <m:sSub>
            <m:e>
              <m:r>
                <m:t>d</m:t>
              </m:r>
            </m:e>
            <m:sub>
              <m:r>
                <m:rPr>
                  <m:nor/>
                  <m:sty m:val="p"/>
                </m:rPr>
                <m:t>测</m:t>
              </m:r>
            </m:sub>
          </m:sSub>
          <m:d>
            <m:dPr>
              <m:begChr m:val="("/>
              <m:endChr m:val=")"/>
              <m:sepChr m:val=""/>
              <m:grow/>
            </m:dPr>
            <m:e>
              <m:r>
                <m:t>k</m:t>
              </m:r>
            </m:e>
          </m:d>
          <m:r>
            <m:rPr>
              <m:sty m:val="p"/>
            </m:rPr>
            <m:t>=</m:t>
          </m:r>
          <m:r>
            <m:t>H</m:t>
          </m:r>
          <m:r>
            <m:rPr>
              <m:sty m:val="p"/>
            </m:rPr>
            <m:t>+</m:t>
          </m:r>
          <m:sSub>
            <m:e>
              <m:r>
                <m:t>h</m:t>
              </m:r>
            </m:e>
            <m:sub>
              <m:r>
                <m:rPr>
                  <m:nor/>
                  <m:sty m:val="p"/>
                </m:rPr>
                <m:t>veh</m:t>
              </m:r>
            </m:sub>
          </m:sSub>
          <m:d>
            <m:dPr>
              <m:begChr m:val="("/>
              <m:endChr m:val=")"/>
              <m:sepChr m:val=""/>
              <m:grow/>
            </m:dPr>
            <m:e>
              <m:r>
                <m:t>k</m:t>
              </m:r>
            </m:e>
          </m:d>
          <m:r>
            <m:rPr>
              <m:sty m:val="p"/>
            </m:rPr>
            <m:t>−</m:t>
          </m:r>
          <m:sSub>
            <m:e>
              <m:r>
                <m:t>h</m:t>
              </m:r>
            </m:e>
            <m:sub>
              <m:r>
                <m:rPr>
                  <m:nor/>
                  <m:sty m:val="p"/>
                </m:rPr>
                <m:t>track</m:t>
              </m:r>
            </m:sub>
          </m:sSub>
          <m:d>
            <m:dPr>
              <m:begChr m:val="("/>
              <m:endChr m:val=")"/>
              <m:sepChr m:val=""/>
              <m:grow/>
            </m:dPr>
            <m:e>
              <m:r>
                <m:t>k</m:t>
              </m:r>
            </m:e>
          </m:d>
          <m:r>
            <m:rPr>
              <m:sty m:val="p"/>
            </m:rPr>
            <m:t>+</m:t>
          </m:r>
          <m:sSub>
            <m:e>
              <m:r>
                <m:t>v</m:t>
              </m:r>
            </m:e>
            <m:sub>
              <m:r>
                <m:t>k</m:t>
              </m:r>
            </m:sub>
          </m:sSub>
        </m:oMath>
      </m:oMathPara>
    </w:p>
    <w:p>
      <w:pPr>
        <w:spacing w:after="120" w:line="440" w:lineRule="exact"/>
        <w:ind w:firstLine="419"/>
      </w:pPr>
      <w:r>
        <w:rPr>
          <w:rFonts w:ascii="SimSun" w:hAnsi="SimSun" w:eastAsia="宋体"/>
          <w:sz w:val="24"/>
          <w:szCs w:val="24"/>
        </w:rPr>
        <w:t xml:space="preserve">其中，为传感器安装高度（约180mm），为观测噪声。慢回路输出频率10Hz与轨道高程变化带宽（&lt;1Hz）匹配，避免了高频振动噪声混入轨道高程估计结果。</w:t>
      </w:r>
    </w:p>
    <w:bookmarkEnd w:id="40"/>
    <w:bookmarkStart w:id="41" w:name="双速解耦的理论依据"/>
    <w:p>
      <w:pPr>
        <w:spacing w:before="160" w:after="80"/>
        <w:jc w:val="LEFT"/>
      </w:pPr>
      <w:r>
        <w:rPr>
          <w:rFonts w:ascii="SimHei" w:hAnsi="SimHei" w:eastAsia="黑体"/>
          <w:b/>
          <w:sz w:val="26"/>
          <w:szCs w:val="26"/>
        </w:rPr>
        <w:t xml:space="preserve">3.4.3 双速解耦的理论依据</w:t>
      </w:r>
    </w:p>
    <w:p>
      <w:pPr>
        <w:spacing w:after="120" w:line="440" w:lineRule="exact"/>
        <w:ind w:firstLine="419"/>
      </w:pPr>
      <w:r>
        <w:rPr>
          <w:rFonts w:ascii="SimSun" w:hAnsi="SimSun" w:eastAsia="宋体"/>
          <w:sz w:val="24"/>
          <w:szCs w:val="24"/>
        </w:rPr>
        <w:t xml:space="preserve">快慢回路的频率分离设计满足采样定理和系统带宽匹配两个约束：轨道高程变化上限&lt;1Hz，慢回路10Hz满足奈奎斯特采样率（）；车体振动频率上限≈20Hz，快回路200Hz满足奈奎斯特采样率；两回路中心频率比值20:1，在频域上完全解耦，无混叠效应。</w:t>
      </w:r>
    </w:p>
    <w:bookmarkEnd w:id="41"/>
    <w:bookmarkEnd w:id="42"/>
    <w:bookmarkEnd w:id="43"/>
    <w:bookmarkStart w:id="51" w:name="第4章-视觉检测方法"/>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bookmarkStart w:id="47" w:name="基于yolov8m的轨面缺陷检测"/>
    <w:p>
      <w:pPr>
        <w:spacing w:before="160" w:after="80"/>
        <w:jc w:val="LEFT"/>
      </w:pPr>
      <w:r>
        <w:rPr>
          <w:rFonts w:ascii="SimHei" w:hAnsi="SimHei" w:eastAsia="黑体"/>
          <w:b/>
          <w:sz w:val="26"/>
          <w:szCs w:val="26"/>
        </w:rPr>
        <w:t xml:space="preserve">4.1 基于YOLOv8m的轨面缺陷检测</w:t>
      </w:r>
    </w:p>
    <w:bookmarkStart w:id="44" w:name="模型选型"/>
    <w:p>
      <w:pPr>
        <w:spacing w:before="160" w:after="80"/>
        <w:jc w:val="LEFT"/>
      </w:pPr>
      <w:r>
        <w:rPr>
          <w:rFonts w:ascii="SimHei" w:hAnsi="SimHei" w:eastAsia="黑体"/>
          <w:b/>
          <w:sz w:val="26"/>
          <w:szCs w:val="26"/>
        </w:rPr>
        <w:t xml:space="preserve">4.1.1 模型选型</w:t>
      </w:r>
    </w:p>
    <w:p>
      <w:pPr>
        <w:spacing w:after="120" w:line="440" w:lineRule="exact"/>
        <w:ind w:firstLine="419"/>
      </w:pPr>
      <w:r>
        <w:rPr>
          <w:rFonts w:ascii="SimSun" w:hAnsi="SimSun" w:eastAsia="宋体"/>
          <w:sz w:val="24"/>
          <w:szCs w:val="24"/>
        </w:rPr>
        <w:t xml:space="preserve">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bookmarkEnd w:id="44"/>
    <w:bookmarkStart w:id="45" w:name="模型训练与量化"/>
    <w:p>
      <w:pPr>
        <w:spacing w:before="160" w:after="80"/>
        <w:jc w:val="LEFT"/>
      </w:pPr>
      <w:r>
        <w:rPr>
          <w:rFonts w:ascii="SimHei" w:hAnsi="SimHei" w:eastAsia="黑体"/>
          <w:b/>
          <w:sz w:val="26"/>
          <w:szCs w:val="26"/>
        </w:rPr>
        <w:t xml:space="preserve">4.1.2 模型训练与量化</w:t>
      </w:r>
    </w:p>
    <w:p>
      <w:pPr>
        <w:spacing w:after="120" w:line="440" w:lineRule="exact"/>
        <w:ind w:firstLine="419"/>
      </w:pPr>
      <w:r>
        <w:rPr>
          <w:rFonts w:ascii="SimSun" w:hAnsi="SimSun" w:eastAsia="宋体"/>
          <w:sz w:val="24"/>
          <w:szCs w:val="24"/>
        </w:rPr>
        <w:t xml:space="preserve">模型训练采用迁移学习方法，以COCO预训练权重为初始化参数，在自建轨面缺陷数据集（5000张标注图像，裂纹:掉块:凹陷=3000:1200:800）上微调50epoch，batch size=16，初始学习率0.001，余弦退火学习率调度。</w:t>
      </w:r>
    </w:p>
    <w:p>
      <w:pPr>
        <w:spacing w:after="120" w:line="440" w:lineRule="exact"/>
        <w:ind w:firstLine="419"/>
      </w:pPr>
      <w:r>
        <w:rPr>
          <w:rFonts w:ascii="SimSun" w:hAnsi="SimSun" w:eastAsia="宋体"/>
          <w:sz w:val="24"/>
          <w:szCs w:val="24"/>
        </w:rPr>
        <w:t xml:space="preserve">训练完成后使用TensorRT进行INT8量化。量化校准数据集选取500张典型图像（覆盖各类光照和工况），保证量化后精度损失小于0.5%。</w:t>
      </w:r>
    </w:p>
    <w:bookmarkEnd w:id="45"/>
    <w:bookmarkStart w:id="46" w:name="后处理与坐标变换"/>
    <w:p>
      <w:pPr>
        <w:spacing w:before="160" w:after="80"/>
        <w:jc w:val="LEFT"/>
      </w:pPr>
      <w:r>
        <w:rPr>
          <w:rFonts w:ascii="SimHei" w:hAnsi="SimHei" w:eastAsia="黑体"/>
          <w:b/>
          <w:sz w:val="26"/>
          <w:szCs w:val="26"/>
        </w:rPr>
        <w:t xml:space="preserve">4.1.3 后处理与坐标变换</w:t>
      </w:r>
    </w:p>
    <w:p>
      <w:pPr>
        <w:spacing w:after="120" w:line="440" w:lineRule="exact"/>
        <w:ind w:firstLine="419"/>
      </w:pPr>
      <w:r>
        <w:rPr>
          <w:rFonts w:ascii="SimSun" w:hAnsi="SimSun" w:eastAsia="宋体"/>
          <w:sz w:val="24"/>
          <w:szCs w:val="24"/>
        </w:rPr>
        <w:t xml:space="preserve">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bookmarkEnd w:id="46"/>
    <w:bookmarkEnd w:id="47"/>
    <w:bookmarkStart w:id="48" w:name="基于传统图像处理的道钉螺栓检测"/>
    <w:p>
      <w:pPr>
        <w:spacing w:before="160" w:after="80"/>
        <w:jc w:val="LEFT"/>
      </w:pPr>
      <w:r>
        <w:rPr>
          <w:rFonts w:ascii="SimHei" w:hAnsi="SimHei" w:eastAsia="黑体"/>
          <w:b/>
          <w:sz w:val="26"/>
          <w:szCs w:val="26"/>
        </w:rPr>
        <w:t xml:space="preserve">4.2 基于传统图像处理的道钉/螺栓检测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pStyle w:val="BodyText"/>
      </w:pPr>
      <m:oMathPara>
        <m:oMathParaPr>
          <m:jc m:val="center"/>
        </m:oMathParaPr>
        <m:oMath>
          <m:r>
            <m:rPr>
              <m:nor/>
              <m:sty m:val="p"/>
            </m:rPr>
            <m:t>ZNCC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m:oMath>
      </m:oMathPara>
    </w:p>
    <w:p>
      <w:pPr>
        <w:spacing w:after="120" w:line="440" w:lineRule="exact"/>
        <w:ind w:firstLine="419"/>
      </w:pPr>
      <w:r>
        <w:rPr>
          <w:rFonts w:ascii="SimSun" w:hAnsi="SimSun" w:eastAsia="宋体"/>
          <w:sz w:val="24"/>
          <w:szCs w:val="24"/>
        </w:rPr>
        <w:t xml:space="preserve">ZNCC越接近1表示匹配度越高。当ZNCC低于设定阈值时，判定为缺失或松动。检测算法还利用700mm节距先验进行时序序列分析：若相邻两螺栓间距满足且轮廓特征正常则判定为正常；若超出容差带且轮廓面积异常则判定为缺失/松动；若轴比偏离均值&gt;15%则判定为歪斜。</w:t>
      </w:r>
    </w:p>
    <w:bookmarkEnd w:id="48"/>
    <w:bookmarkStart w:id="49" w:name="基于opencv的焊缝缺陷检测"/>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bookmarkEnd w:id="49"/>
    <w:bookmarkStart w:id="50" w:name="深度学习与传统算法的互补性"/>
    <w:p>
      <w:pPr>
        <w:spacing w:before="160" w:after="80"/>
        <w:jc w:val="LEFT"/>
      </w:pPr>
      <w:r>
        <w:rPr>
          <w:rFonts w:ascii="SimHei" w:hAnsi="SimHei" w:eastAsia="黑体"/>
          <w:b/>
          <w:sz w:val="26"/>
          <w:szCs w:val="26"/>
        </w:rPr>
        <w:t xml:space="preserve">4.4 深度学习与传统算法的互补性</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bookmarkEnd w:id="50"/>
    <w:bookmarkEnd w:id="51"/>
    <w:bookmarkStart w:id="58" w:name="第5章-实验验证与结果分析"/>
    <w:p>
      <w:pPr>
        <w:spacing w:before="280" w:after="120"/>
        <w:jc w:val="CENTER"/>
      </w:pPr>
      <w:r>
        <w:rPr>
          <w:rFonts w:ascii="SimHei" w:hAnsi="SimHei" w:eastAsia="黑体"/>
          <w:b/>
          <w:sz w:val="32"/>
          <w:szCs w:val="32"/>
        </w:rPr>
        <w:t xml:space="preserve">第5章 实验验证与结果分析</w:t>
      </w:r>
    </w:p>
    <w:bookmarkStart w:id="52" w:name="时空对齐精度验证"/>
    <w:p>
      <w:pPr>
        <w:spacing w:before="160" w:after="80"/>
        <w:jc w:val="LEFT"/>
      </w:pPr>
      <w:r>
        <w:rPr>
          <w:rFonts w:ascii="SimHei" w:hAnsi="SimHei" w:eastAsia="黑体"/>
          <w:b/>
          <w:sz w:val="26"/>
          <w:szCs w:val="26"/>
        </w:rPr>
        <w:t xml:space="preserve">5.1 时空对齐精度验证</w:t>
      </w:r>
    </w:p>
    <w:p>
      <w:pPr>
        <w:spacing w:after="120" w:line="440" w:lineRule="exact"/>
        <w:ind w:firstLine="419"/>
      </w:pPr>
      <w:r>
        <w:rPr>
          <w:rFonts w:ascii="SimSun" w:hAnsi="SimSun" w:eastAsia="宋体"/>
          <w:sz w:val="24"/>
          <w:szCs w:val="24"/>
        </w:rPr>
        <w:t xml:space="preserve">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实验结果：传统方案平均空间偏差12.7mm，最大偏差28.3mm；本文方案平均偏差3.2mm，最大偏差6.1mm，偏差降低74.7%。传统方案有23%的测试点偏差超过15mm，而本文方案98%的测试点偏差控制在5mm以内。</w:t>
      </w:r>
    </w:p>
    <w:bookmarkEnd w:id="52"/>
    <w:bookmarkStart w:id="53" w:name="几何参数检测精度验证"/>
    <w:p>
      <w:pPr>
        <w:spacing w:before="160" w:after="80"/>
        <w:jc w:val="LEFT"/>
      </w:pPr>
      <w:r>
        <w:rPr>
          <w:rFonts w:ascii="SimHei" w:hAnsi="SimHei" w:eastAsia="黑体"/>
          <w:b/>
          <w:sz w:val="26"/>
          <w:szCs w:val="26"/>
        </w:rPr>
        <w:t xml:space="preserve">5.2 几何参数检测精度验证</w:t>
      </w:r>
    </w:p>
    <w:p>
      <w:pPr>
        <w:spacing w:after="120" w:line="440" w:lineRule="exact"/>
        <w:ind w:firstLine="419"/>
      </w:pPr>
      <w:r>
        <w:rPr>
          <w:rFonts w:ascii="SimSun" w:hAnsi="SimSun" w:eastAsia="宋体"/>
          <w:sz w:val="24"/>
          <w:szCs w:val="24"/>
        </w:rPr>
        <w:t xml:space="preserve">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pPr>
        <w:spacing w:after="120" w:line="440" w:lineRule="exact"/>
        <w:ind w:firstLine="419"/>
      </w:pPr>
      <w:r>
        <w:rPr>
          <w:rFonts w:ascii="SimSun" w:hAnsi="SimSun" w:eastAsia="宋体"/>
          <w:sz w:val="24"/>
          <w:szCs w:val="24"/>
        </w:rPr>
        <w:t xml:space="preserve">水平检测：选取含已知超高值的曲线段开展验证。HWT905横滚角直接计算超高差，与基准超高差逐点比对。在不同曲线半径条件下，水平检测误差均小于0.4mm，满足规范要求。</w:t>
      </w:r>
    </w:p>
    <w:p>
      <w:pPr>
        <w:spacing w:after="120" w:line="440" w:lineRule="exact"/>
        <w:ind w:firstLine="419"/>
      </w:pPr>
      <w:r>
        <w:rPr>
          <w:rFonts w:ascii="SimSun" w:hAnsi="SimSun" w:eastAsia="宋体"/>
          <w:sz w:val="24"/>
          <w:szCs w:val="24"/>
        </w:rPr>
        <w:t xml:space="preserve">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bookmarkEnd w:id="53"/>
    <w:bookmarkStart w:id="54" w:name="视觉缺陷检测精度验证"/>
    <w:p>
      <w:pPr>
        <w:spacing w:before="160" w:after="80"/>
        <w:jc w:val="LEFT"/>
      </w:pPr>
      <w:r>
        <w:rPr>
          <w:rFonts w:ascii="SimHei" w:hAnsi="SimHei" w:eastAsia="黑体"/>
          <w:b/>
          <w:sz w:val="26"/>
          <w:szCs w:val="26"/>
        </w:rPr>
        <w:t xml:space="preserve">5.3 视觉缺陷检测精度验证</w:t>
      </w:r>
    </w:p>
    <w:p>
      <w:pPr>
        <w:spacing w:after="120" w:line="440" w:lineRule="exact"/>
        <w:ind w:firstLine="419"/>
      </w:pPr>
      <w:r>
        <w:rPr>
          <w:rFonts w:ascii="SimSun" w:hAnsi="SimSun" w:eastAsia="宋体"/>
          <w:sz w:val="24"/>
          <w:szCs w:val="24"/>
        </w:rPr>
        <w:t xml:space="preserve">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line="440" w:lineRule="exact"/>
        <w:ind w:firstLine="419"/>
      </w:pPr>
      <w:r>
        <w:rPr>
          <w:rFonts w:ascii="SimSun" w:hAnsi="SimSun" w:eastAsia="宋体"/>
          <w:sz w:val="24"/>
          <w:szCs w:val="24"/>
        </w:rPr>
        <w:t xml:space="preserve">道钉/螺栓状态检测：ZNCC模板匹配方法在包含2000个道钉/螺栓的测试集上验证，缺失检出率97.2%，松动检出率94.8%，误报率低于2.1%。低光照条件下，通过自适应补光调节，检出率下降不超过3个百分点。</w:t>
      </w:r>
    </w:p>
    <w:bookmarkEnd w:id="54"/>
    <w:bookmarkStart w:id="55" w:name="自适应融合算法验证"/>
    <w:p>
      <w:pPr>
        <w:spacing w:before="160" w:after="80"/>
        <w:jc w:val="LEFT"/>
      </w:pPr>
      <w:r>
        <w:rPr>
          <w:rFonts w:ascii="SimHei" w:hAnsi="SimHei" w:eastAsia="黑体"/>
          <w:b/>
          <w:sz w:val="26"/>
          <w:szCs w:val="26"/>
        </w:rPr>
        <w:t xml:space="preserve">5.4 自适应融合算法验证</w:t>
      </w:r>
    </w:p>
    <w:p>
      <w:pPr>
        <w:spacing w:after="120" w:line="440" w:lineRule="exact"/>
        <w:ind w:firstLine="419"/>
      </w:pPr>
      <w:r>
        <w:rPr>
          <w:rFonts w:ascii="SimSun" w:hAnsi="SimSun" w:eastAsia="宋体"/>
          <w:sz w:val="24"/>
          <w:szCs w:val="24"/>
        </w:rPr>
        <w:t xml:space="preserve">验证集设计：构建包含1000个缺陷样本的验证集，样本涵盖不同缺陷类型（视觉缺陷+几何参数超限）、不同严重等级（1~4级）和不同环境条件（晴天/雨天/夜间）。</w:t>
      </w:r>
    </w:p>
    <w:p>
      <w:pPr>
        <w:spacing w:after="120" w:line="440" w:lineRule="exact"/>
        <w:ind w:firstLine="419"/>
      </w:pPr>
      <w:r>
        <w:rPr>
          <w:rFonts w:ascii="SimSun" w:hAnsi="SimSun" w:eastAsia="宋体"/>
          <w:sz w:val="24"/>
          <w:szCs w:val="24"/>
        </w:rPr>
        <w:t xml:space="preserve">融合判定准确率对比：固定权重融合准确率95.1%；本文自适应动态加权融合准确率97.5%，提升2.4个百分点。</w:t>
      </w:r>
    </w:p>
    <w:p>
      <w:pPr>
        <w:spacing w:after="120" w:line="440" w:lineRule="exact"/>
        <w:ind w:firstLine="419"/>
      </w:pPr>
      <w:r>
        <w:rPr>
          <w:rFonts w:ascii="SimSun" w:hAnsi="SimSun" w:eastAsia="宋体"/>
          <w:sz w:val="24"/>
          <w:szCs w:val="24"/>
        </w:rPr>
        <w:t xml:space="preserve">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bookmarkEnd w:id="55"/>
    <w:bookmarkStart w:id="56" w:name="综合性能对比"/>
    <w:p>
      <w:pPr>
        <w:spacing w:before="160" w:after="80"/>
        <w:jc w:val="LEFT"/>
      </w:pPr>
      <w:r>
        <w:rPr>
          <w:rFonts w:ascii="SimHei" w:hAnsi="SimHei" w:eastAsia="黑体"/>
          <w:b/>
          <w:sz w:val="26"/>
          <w:szCs w:val="26"/>
        </w:rPr>
        <w:t xml:space="preserve">5.5 综合性能对比</w:t>
      </w:r>
    </w:p>
    <w:p>
      <w:pPr>
        <w:spacing w:after="120" w:line="440" w:lineRule="exact"/>
        <w:ind w:firstLine="419"/>
      </w:pPr>
      <w:r>
        <w:rPr>
          <w:rFonts w:ascii="SimSun" w:hAnsi="SimSun" w:eastAsia="宋体"/>
          <w:sz w:val="24"/>
          <w:szCs w:val="24"/>
        </w:rPr>
        <w:t xml:space="preserve">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bookmarkEnd w:id="56"/>
    <w:bookmarkStart w:id="57" w:name="系统稳定性"/>
    <w:p>
      <w:pPr>
        <w:spacing w:before="160" w:after="80"/>
        <w:jc w:val="LEFT"/>
      </w:pPr>
      <w:r>
        <w:rPr>
          <w:rFonts w:ascii="SimHei" w:hAnsi="SimHei" w:eastAsia="黑体"/>
          <w:b/>
          <w:sz w:val="26"/>
          <w:szCs w:val="26"/>
        </w:rPr>
        <w:t xml:space="preserve">5.6 系统稳定性</w:t>
      </w:r>
    </w:p>
    <w:p>
      <w:pPr>
        <w:spacing w:after="120" w:line="440" w:lineRule="exact"/>
        <w:ind w:firstLine="419"/>
      </w:pPr>
      <w:r>
        <w:rPr>
          <w:rFonts w:ascii="SimSun" w:hAnsi="SimSun" w:eastAsia="宋体"/>
          <w:sz w:val="24"/>
          <w:szCs w:val="24"/>
        </w:rPr>
        <w:t xml:space="preserve">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bookmarkEnd w:id="57"/>
    <w:bookmarkEnd w:id="58"/>
    <w:bookmarkStart w:id="62" w:name="第6章-讨论"/>
    <w:p>
      <w:pPr>
        <w:spacing w:before="280" w:after="120"/>
        <w:jc w:val="CENTER"/>
      </w:pPr>
      <w:r>
        <w:rPr>
          <w:rFonts w:ascii="SimHei" w:hAnsi="SimHei" w:eastAsia="黑体"/>
          <w:b/>
          <w:sz w:val="32"/>
          <w:szCs w:val="32"/>
        </w:rPr>
        <w:t xml:space="preserve">第6章 讨论</w:t>
      </w:r>
    </w:p>
    <w:bookmarkStart w:id="59" w:name="方法分析"/>
    <w:p>
      <w:pPr>
        <w:spacing w:before="160" w:after="80"/>
        <w:jc w:val="LEFT"/>
      </w:pPr>
      <w:r>
        <w:rPr>
          <w:rFonts w:ascii="SimHei" w:hAnsi="SimHei" w:eastAsia="黑体"/>
          <w:b/>
          <w:sz w:val="26"/>
          <w:szCs w:val="26"/>
        </w:rPr>
        <w:t xml:space="preserve">6.1 方法分析</w:t>
      </w:r>
    </w:p>
    <w:p>
      <w:pPr>
        <w:spacing w:after="120" w:line="440" w:lineRule="exact"/>
        <w:ind w:firstLine="419"/>
      </w:pPr>
      <w:r>
        <w:rPr>
          <w:rFonts w:ascii="SimSun" w:hAnsi="SimSun" w:eastAsia="宋体"/>
          <w:sz w:val="24"/>
          <w:szCs w:val="24"/>
        </w:rPr>
        <w:t xml:space="preserve">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bookmarkEnd w:id="59"/>
    <w:bookmarkStart w:id="60" w:name="研究局限性"/>
    <w:p>
      <w:pPr>
        <w:spacing w:before="160" w:after="80"/>
        <w:jc w:val="LEFT"/>
      </w:pPr>
      <w:r>
        <w:rPr>
          <w:rFonts w:ascii="SimHei" w:hAnsi="SimHei" w:eastAsia="黑体"/>
          <w:b/>
          <w:sz w:val="26"/>
          <w:szCs w:val="26"/>
        </w:rPr>
        <w:t xml:space="preserve">6.2 研究局限性</w:t>
      </w:r>
    </w:p>
    <w:p>
      <w:pPr>
        <w:spacing w:after="120" w:line="440" w:lineRule="exact"/>
        <w:ind w:firstLine="419"/>
      </w:pPr>
      <w:r>
        <w:rPr>
          <w:rFonts w:ascii="SimSun" w:hAnsi="SimSun" w:eastAsia="宋体"/>
          <w:sz w:val="24"/>
          <w:szCs w:val="24"/>
        </w:rPr>
        <w:t xml:space="preserve">本文方法存在以下局限：</w:t>
      </w:r>
    </w:p>
    <w:p>
      <w:pPr>
        <w:spacing w:after="120" w:line="440" w:lineRule="exact"/>
        <w:ind w:firstLine="419"/>
      </w:pPr>
      <w:r>
        <w:rPr>
          <w:rFonts w:ascii="SimSun" w:hAnsi="SimSun" w:eastAsia="宋体"/>
          <w:sz w:val="24"/>
          <w:szCs w:val="24"/>
        </w:rPr>
        <w:t xml:space="preserve">（1）波磨检测中1m≤λ&lt;10m波段存在频谱重叠。 轨道高程变化与车体振动的频谱在0.1~1Hz区间部分重叠，EKF协方差偏大，对该波段波磨的量化精度有限。未来可研究基于频域分离的改进算法。</w:t>
      </w:r>
    </w:p>
    <w:p>
      <w:pPr>
        <w:spacing w:after="120" w:line="440" w:lineRule="exact"/>
        <w:ind w:firstLine="419"/>
      </w:pPr>
      <w:r>
        <w:rPr>
          <w:rFonts w:ascii="SimSun" w:hAnsi="SimSun" w:eastAsia="宋体"/>
          <w:sz w:val="24"/>
          <w:szCs w:val="24"/>
        </w:rPr>
        <w:t xml:space="preserve">（2）夜间视觉检测性能有待验证。 本文实验在白天光照条件下开展。夜间或隧道内的视觉检测性能（包括补光策略、检测模型的光照适应性等）尚待进一步研究。</w:t>
      </w:r>
    </w:p>
    <w:p>
      <w:pPr>
        <w:spacing w:after="120" w:line="440" w:lineRule="exact"/>
        <w:ind w:firstLine="419"/>
      </w:pPr>
      <w:r>
        <w:rPr>
          <w:rFonts w:ascii="SimSun" w:hAnsi="SimSun" w:eastAsia="宋体"/>
          <w:sz w:val="24"/>
          <w:szCs w:val="24"/>
        </w:rPr>
        <w:t xml:space="preserve">（3）系统目前不支持轨向检测功能。 轨向（方向不平顺）是轨道几何状态的重要组成部分，本文方法尚未覆盖，该功能将在后续研究中补充。</w:t>
      </w:r>
    </w:p>
    <w:bookmarkEnd w:id="60"/>
    <w:bookmarkStart w:id="61" w:name="未来研究方向"/>
    <w:p>
      <w:pPr>
        <w:spacing w:before="160" w:after="80"/>
        <w:jc w:val="LEFT"/>
      </w:pPr>
      <w:r>
        <w:rPr>
          <w:rFonts w:ascii="SimHei" w:hAnsi="SimHei" w:eastAsia="黑体"/>
          <w:b/>
          <w:sz w:val="26"/>
          <w:szCs w:val="26"/>
        </w:rPr>
        <w:t xml:space="preserve">6.3 未来研究方向</w:t>
      </w:r>
    </w:p>
    <w:p>
      <w:pPr>
        <w:spacing w:after="120" w:line="440" w:lineRule="exact"/>
        <w:ind w:firstLine="419"/>
      </w:pPr>
      <w:r>
        <w:rPr>
          <w:rFonts w:ascii="SimSun" w:hAnsi="SimSun" w:eastAsia="宋体"/>
          <w:sz w:val="24"/>
          <w:szCs w:val="24"/>
        </w:rPr>
        <w:t xml:space="preserve">（1）引入深度学习姿态估计方法。 深度网络可从数据中学习复杂工况下的姿态-里程映射关系，有望进一步提升复杂工况（弯道、坡道）下的时空对齐精度。</w:t>
      </w:r>
    </w:p>
    <w:p>
      <w:pPr>
        <w:spacing w:after="120" w:line="440" w:lineRule="exact"/>
        <w:ind w:firstLine="419"/>
      </w:pPr>
      <w:r>
        <w:rPr>
          <w:rFonts w:ascii="SimSun" w:hAnsi="SimSun" w:eastAsia="宋体"/>
          <w:sz w:val="24"/>
          <w:szCs w:val="24"/>
        </w:rPr>
        <w:t xml:space="preserve">（2）扩展至更多检测功能。 研究面向钢轨探伤（超声检测）、隧道衬砌检测等更多功能的传感器融合方案，进一步提升系统的综合检测能力。</w:t>
      </w:r>
    </w:p>
    <w:p>
      <w:pPr>
        <w:spacing w:after="120" w:line="440" w:lineRule="exact"/>
        <w:ind w:firstLine="419"/>
      </w:pPr>
      <w:r>
        <w:rPr>
          <w:rFonts w:ascii="SimSun" w:hAnsi="SimSun" w:eastAsia="宋体"/>
          <w:sz w:val="24"/>
          <w:szCs w:val="24"/>
        </w:rPr>
        <w:t xml:space="preserve">（3）轨道健康趋势预测。 结合大数据平台积累的历史检测数据，研究基于时序分析的轨道健康趋势预测方法，从”发现病害”向”预测病害”演进，实现从事后维修到事前预防的范式转变。</w:t>
      </w:r>
    </w:p>
    <w:p>
      <w:pPr>
        <w:spacing w:after="120" w:line="440" w:lineRule="exact"/>
        <w:ind w:firstLine="419"/>
      </w:pPr>
      <w:r>
        <w:rPr>
          <w:rFonts w:ascii="SimSun" w:hAnsi="SimSun" w:eastAsia="宋体"/>
          <w:sz w:val="24"/>
          <w:szCs w:val="24"/>
        </w:rPr>
        <w:t xml:space="preserve">（4）轻量化与边缘部署。 探索轻量化模型和边缘计算优化，使系统可在更低算力的嵌入式平台上部署运行，降低硬件成本，推动技术的广泛推广。</w:t>
      </w:r>
    </w:p>
    <w:bookmarkEnd w:id="61"/>
    <w:bookmarkEnd w:id="62"/>
    <w:bookmarkStart w:id="63" w:name="第7章-结论"/>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本文围绕”统一时空基准下的多源异构数据深度融合”这一核心问题，面向铁路线路综合检测场景，从时空对齐机制、融合判定算法、视觉检测方法三个层面开展了系统性研究。主要工作和贡献包括：</w:t>
      </w:r>
    </w:p>
    <w:p>
      <w:pPr>
        <w:spacing w:after="120" w:line="440" w:lineRule="exact"/>
        <w:ind w:firstLine="419"/>
      </w:pPr>
      <w:r>
        <w:rPr>
          <w:rFonts w:ascii="SimSun" w:hAnsi="SimSun" w:eastAsia="宋体"/>
          <w:sz w:val="24"/>
          <w:szCs w:val="24"/>
        </w:rPr>
        <w:t xml:space="preserve">（1）提出了基于”帧编号—里程坐标—UTC时间戳”三键索引的时空对齐机制。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line="440" w:lineRule="exact"/>
        <w:ind w:firstLine="419"/>
      </w:pPr>
      <w:r>
        <w:rPr>
          <w:rFonts w:ascii="SimSun" w:hAnsi="SimSun" w:eastAsia="宋体"/>
          <w:sz w:val="24"/>
          <w:szCs w:val="24"/>
        </w:rPr>
        <w:t xml:space="preserve">（4）搭建了完整的铁路线路综合检测系统，在实际线路上累计完成120km以上的系统性验证。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2026-04-27T21:52:09Z</dcterms:created>
  <dcterms:modified xsi:type="dcterms:W3CDTF">2026-04-27T21:52:09Z</dcterms:modified>
</cp:coreProperties>
</file>

<file path=docProps/custom.xml><?xml version="1.0" encoding="utf-8"?>
<Properties xmlns="http://schemas.openxmlformats.org/officeDocument/2006/custom-properties" xmlns:vt="http://schemas.openxmlformats.org/officeDocument/2006/docPropsVTypes"/>
</file>