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感知系统标定与校准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本地交互界面采用7寸触控屏，实时显示检测状态、传感器数据和告警信息，支持现场操作控制。远程监控平台基于Web架构，支持检测数据的实时查看、历史回放和养护报告导出。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运动平台与机械结构设计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车体主体采用铝合金型材拼接结构，在保证强度的前提下控制整体重量。相机和激光的安装支架经过力学仿真优化，避免高速运动时结构变形对感知精度产生影响。</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高低检测EKF融合算法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高低检测采用单点测距传感器（2000Hz）作为主测手段，HWT905姿态传感器（200Hz）用于俯仰角校正，通过EKF（扩展卡尔曼滤波）融合得到轨道高程值。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EKF状态向量为x_k = [h_track(k), h_veh(k), v_veh(k)]ᵀ，其中h_track为轨道高程，h_veh为车体相对轨道的高差，v_veh为车体垂向速度。观测方程为z_k = d_测(k) = H + h_veh(k) - h_track(k) + v_k，其中H为传感器安装高度（约180mm），v_k为观测噪声。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融合系统采用双速架构：快回路200Hz利用HWT905姿态数据进行车体姿态实时校正，慢回路10Hz输出轨道高程估计值。实验表明，EKF融合后的高低不平顺测量精度优于±0.5mm，满足铁路线路养护规范要求。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系统支持远程OTA升级，包括算法模型更新和系统固件升级。远程升级采用差分分包技术，最小化传输数据量，升级过程不影响正常检测作业。新模型上线前通过回放历史数据进行验证，确保模型迭代的可靠性。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sin(θ_r)，其中θ_r为HWT905输出的横滚角。该方法完全依赖姿态传感器，无需额外的几何基准，简化了硬件复杂度，测量结果与轨距检测共用同一里程坐标。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远程监控平台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远程监控平台基于Web架构，提供检测区段的GIS可视化展示，养护人员可直观查看各区段的健康评分分布、缺陷类型热力图和超限告警标记，支持按里程、时间、缺陷类型等多维度的查询和筛选。</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8项检测功能配置总览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下表给出了8项检测功能的主传感器配置和核心输出：</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主传感器</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2D相机(Cam0/Cam1)</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2D相机(Cam2/Cam3)</w:t>
            </w:r>
          </w:p>
        </w:tc>
        <w:tc>
          <w:tcPr>
            <w:tcW w:type="dxa" w:w="2161"/>
          </w:tcPr>
          <w:p>
            <w:pPr>
              <w:jc w:val="center"/>
            </w:pPr>
            <w:r/>
            <w:r>
              <w:rPr>
                <w:rFonts w:ascii="宋体" w:hAnsi="宋体" w:eastAsia="宋体"/>
                <w:b w:val="0"/>
                <w:sz w:val="21"/>
              </w:rPr>
              <w:t>位置统计、数量、状态等级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3D线激光×2</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3D线激光+相机</w:t>
            </w:r>
          </w:p>
        </w:tc>
        <w:tc>
          <w:tcPr>
            <w:tcW w:type="dxa" w:w="2161"/>
          </w:tcPr>
          <w:p>
            <w:pPr>
              <w:jc w:val="center"/>
            </w:pPr>
            <w:r/>
            <w:r>
              <w:rPr>
                <w:rFonts w:ascii="宋体" w:hAnsi="宋体" w:eastAsia="宋体"/>
                <w:b w:val="0"/>
                <w:sz w:val="21"/>
              </w:rPr>
              <w:t>波长、波深、劣化程度</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2D相机(Cam4/Cam5)</w:t>
            </w:r>
          </w:p>
        </w:tc>
        <w:tc>
          <w:tcPr>
            <w:tcW w:type="dxa" w:w="2161"/>
          </w:tcPr>
          <w:p>
            <w:pPr>
              <w:jc w:val="center"/>
            </w:pPr>
            <w:r/>
            <w:r>
              <w:rPr>
                <w:rFonts w:ascii="宋体" w:hAnsi="宋体" w:eastAsia="宋体"/>
                <w:b w:val="0"/>
                <w:sz w:val="21"/>
              </w:rPr>
              <w:t>缺陷类型、等级、位置</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轨距值、偏差、超限标记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HWT905横滚角</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单点测距+HWT905</w:t>
            </w:r>
          </w:p>
        </w:tc>
        <w:tc>
          <w:tcPr>
            <w:tcW w:type="dxa" w:w="2161"/>
          </w:tcPr>
          <w:p>
            <w:pPr>
              <w:jc w:val="center"/>
            </w:pPr>
            <w:r/>
            <w:r>
              <w:rPr>
                <w:rFonts w:ascii="宋体" w:hAnsi="宋体" w:eastAsia="宋体"/>
                <w:b w:val="0"/>
                <w:sz w:val="21"/>
              </w:rPr>
              <w:t>高低不平顺值</w:t>
            </w:r>
          </w:p>
        </w:tc>
      </w:tr>
    </w:tbl>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系统硬件配置如下：Jetson AGX Orin计算平台（32 TOPS算力），6路2D工业相机（2448×2048@20fps），2路3D线激光（100Hz），HWT905姿态传感器（200Hz），2套单点测距传感器（2000Hz），48V/30Ah蓄电池组。设备总重量约38kg，可由单人操作。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轨距检测精度验证实验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选取100m标准测试区段（直线段，轨距无明显病害），以量程0~1600mm、精度±0.05mm的标准轨距尺作为真值参照。每隔10m设置一个测量点，共10个测量点，每个测量点重复测量3次取平均值。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系统测量值与轨距尺读数对比如下（单位：mm）：</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轨距尺读数</w:t>
            </w:r>
          </w:p>
        </w:tc>
        <w:tc>
          <w:tcPr>
            <w:tcW w:type="dxa" w:w="2161"/>
            <w:shd w:val="clear" w:color="auto" w:fill="D9E2F3"/>
          </w:tcPr>
          <w:p>
            <w:pPr>
              <w:jc w:val="center"/>
            </w:pPr>
            <w:r/>
            <w:r>
              <w:rPr>
                <w:rFonts w:ascii="宋体" w:hAnsi="宋体" w:eastAsia="宋体"/>
                <w:b/>
                <w:sz w:val="21"/>
              </w:rPr>
              <w:t>系统测量值</w:t>
            </w:r>
          </w:p>
        </w:tc>
        <w:tc>
          <w:tcPr>
            <w:tcW w:type="dxa" w:w="2161"/>
            <w:shd w:val="clear" w:color="auto" w:fill="D9E2F3"/>
          </w:tcPr>
          <w:p>
            <w:pPr>
              <w:jc w:val="center"/>
            </w:pPr>
            <w:r/>
            <w:r>
              <w:rPr>
                <w:rFonts w:ascii="宋体" w:hAnsi="宋体" w:eastAsia="宋体"/>
                <w:b/>
                <w:sz w:val="21"/>
              </w:rPr>
              <w:t>偏差</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K0+020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1434.7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K0+030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K0+040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最大偏差为±0.2mm，满足《铁路线路修理规则》对轨距检测精度的要求（偏差不超过±1mm）。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水平检测精度验证实验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选取10个已知超高值的曲线段，利用精度±0.05mm/m的电子水平仪测量左右轨超高差作为真值，与系统HWT905横滚角计算结果进行对比。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系统水平检测偏差小于0.3mm（1σ），满足铁路养护检测规范要求。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AI缺陷检测精度验证实验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**数据集。** 构建了包含5000张标注图像的轨面缺陷数据集，其中裂纹3000张、掉块1200张、凹陷800张，按8:2划分为训练集和测试集。标注信息包括缺陷类别、边界框和像素级掩码。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**模型训练。** 采用YOLOv8m作为基座模型，在训练集上完成50epoch微调，batch size=16，初始学习率0.001，采用余弦退火学习率调度。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**测试结果。**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93.1%</w:t>
            </w:r>
          </w:p>
        </w:tc>
        <w:tc>
          <w:tcPr>
            <w:tcW w:type="dxa" w:w="2161"/>
          </w:tcPr>
          <w:p>
            <w:pPr>
              <w:jc w:val="center"/>
            </w:pPr>
            <w:r/>
            <w:r>
              <w:rPr>
                <w:rFonts w:ascii="宋体" w:hAnsi="宋体" w:eastAsia="宋体"/>
                <w:b w:val="0"/>
                <w:sz w:val="21"/>
              </w:rPr>
              <w:t>95.2%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91.8%</w:t>
            </w:r>
          </w:p>
        </w:tc>
        <w:tc>
          <w:tcPr>
            <w:tcW w:type="dxa" w:w="2161"/>
          </w:tcPr>
          <w:p>
            <w:pPr>
              <w:jc w:val="center"/>
            </w:pPr>
            <w:r/>
            <w:r>
              <w:rPr>
                <w:rFonts w:ascii="宋体" w:hAnsi="宋体" w:eastAsia="宋体"/>
                <w:b w:val="0"/>
                <w:sz w:val="21"/>
              </w:rPr>
              <w:t>91.2%</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89.3%</w:t>
            </w:r>
          </w:p>
        </w:tc>
        <w:tc>
          <w:tcPr>
            <w:tcW w:type="dxa" w:w="2161"/>
          </w:tcPr>
          <w:p>
            <w:pPr>
              <w:jc w:val="center"/>
            </w:pPr>
            <w:r/>
            <w:r>
              <w:rPr>
                <w:rFonts w:ascii="宋体" w:hAnsi="宋体" w:eastAsia="宋体"/>
                <w:b w:val="0"/>
                <w:sz w:val="21"/>
              </w:rPr>
              <w:t>89.0%</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**91.1%**</w:t>
            </w:r>
          </w:p>
        </w:tc>
        <w:tc>
          <w:tcPr>
            <w:tcW w:type="dxa" w:w="2161"/>
          </w:tcPr>
          <w:p>
            <w:pPr>
              <w:jc w:val="center"/>
            </w:pPr>
            <w:r/>
            <w:r>
              <w:rPr>
                <w:rFonts w:ascii="宋体" w:hAnsi="宋体" w:eastAsia="宋体"/>
                <w:b w:val="0"/>
                <w:sz w:val="21"/>
              </w:rPr>
              <w:t>**92.1%**</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三源融合判定可靠性验证实验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选取1000个缺陷样本（含不同类型和等级），分别以纯2D图像检测和三源融合方法进行判定，以人工复核结果为真值，对比两者的准确率、精确率、召回率。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纯2D图像检测准确率为92.3%，三源融合判定准确率为97.5%，提升了5.2个百分点。融合方法在保持较高召回率的同时显著降低了误报率，验证了三源融合框架的有效性。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6.6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对比项目</w:t>
            </w:r>
          </w:p>
        </w:tc>
        <w:tc>
          <w:tcPr>
            <w:tcW w:type="dxa" w:w="2161"/>
            <w:shd w:val="clear" w:color="auto" w:fill="D9E2F3"/>
          </w:tcPr>
          <w:p>
            <w:pPr>
              <w:jc w:val="center"/>
            </w:pPr>
            <w:r/>
            <w:r>
              <w:rPr>
                <w:rFonts w:ascii="宋体" w:hAnsi="宋体" w:eastAsia="宋体"/>
                <w:b/>
                <w:sz w:val="21"/>
              </w:rPr>
              <w:t>传统人工巡检</w:t>
            </w:r>
          </w:p>
        </w:tc>
        <w:tc>
          <w:tcPr>
            <w:tcW w:type="dxa" w:w="2161"/>
            <w:shd w:val="clear" w:color="auto" w:fill="D9E2F3"/>
          </w:tcPr>
          <w:p>
            <w:pPr>
              <w:jc w:val="center"/>
            </w:pPr>
            <w:r/>
            <w:r>
              <w:rPr>
                <w:rFonts w:ascii="宋体" w:hAnsi="宋体" w:eastAsia="宋体"/>
                <w:b/>
                <w:sz w:val="21"/>
              </w:rPr>
              <w:t>综合检测系统</w:t>
            </w:r>
          </w:p>
        </w:tc>
        <w:tc>
          <w:tcPr>
            <w:tcW w:type="dxa" w:w="2161"/>
            <w:shd w:val="clear" w:color="auto" w:fill="D9E2F3"/>
          </w:tcPr>
          <w:p>
            <w:pPr>
              <w:jc w:val="center"/>
            </w:pPr>
            <w:r/>
            <w:r>
              <w:rPr>
                <w:rFonts w:ascii="宋体" w:hAnsi="宋体" w:eastAsia="宋体"/>
                <w:b/>
                <w:sz w:val="21"/>
              </w:rPr>
              <w:t>提升幅度</w:t>
            </w:r>
          </w:p>
        </w:tc>
      </w:tr>
      <w:tr>
        <w:tc>
          <w:tcPr>
            <w:tcW w:type="dxa" w:w="2161"/>
          </w:tcPr>
          <w:p>
            <w:pPr>
              <w:jc w:val="center"/>
            </w:pPr>
            <w:r/>
            <w:r>
              <w:rPr>
                <w:rFonts w:ascii="宋体" w:hAnsi="宋体" w:eastAsia="宋体"/>
                <w:b w:val="0"/>
                <w:sz w:val="21"/>
              </w:rPr>
              <w:t>作业人员</w:t>
            </w:r>
          </w:p>
        </w:tc>
        <w:tc>
          <w:tcPr>
            <w:tcW w:type="dxa" w:w="2161"/>
          </w:tcPr>
          <w:p>
            <w:pPr>
              <w:jc w:val="center"/>
            </w:pPr>
            <w:r/>
            <w:r>
              <w:rPr>
                <w:rFonts w:ascii="宋体" w:hAnsi="宋体" w:eastAsia="宋体"/>
                <w:b w:val="0"/>
                <w:sz w:val="21"/>
              </w:rPr>
              <w:t>4人</w:t>
            </w:r>
          </w:p>
        </w:tc>
        <w:tc>
          <w:tcPr>
            <w:tcW w:type="dxa" w:w="2161"/>
          </w:tcPr>
          <w:p>
            <w:pPr>
              <w:jc w:val="center"/>
            </w:pPr>
            <w:r/>
            <w:r>
              <w:rPr>
                <w:rFonts w:ascii="宋体" w:hAnsi="宋体" w:eastAsia="宋体"/>
                <w:b w:val="0"/>
                <w:sz w:val="21"/>
              </w:rPr>
              <w:t>1人</w:t>
            </w:r>
          </w:p>
        </w:tc>
        <w:tc>
          <w:tcPr>
            <w:tcW w:type="dxa" w:w="2161"/>
          </w:tcPr>
          <w:p>
            <w:pPr>
              <w:jc w:val="center"/>
            </w:pPr>
            <w:r/>
            <w:r>
              <w:rPr>
                <w:rFonts w:ascii="宋体" w:hAnsi="宋体" w:eastAsia="宋体"/>
                <w:b w:val="0"/>
                <w:sz w:val="21"/>
              </w:rPr>
              <w:t>减少75%</w:t>
            </w:r>
          </w:p>
        </w:tc>
      </w:tr>
      <w:tr>
        <w:tc>
          <w:tcPr>
            <w:tcW w:type="dxa" w:w="2161"/>
          </w:tcPr>
          <w:p>
            <w:pPr>
              <w:jc w:val="center"/>
            </w:pPr>
            <w:r/>
            <w:r>
              <w:rPr>
                <w:rFonts w:ascii="宋体" w:hAnsi="宋体" w:eastAsia="宋体"/>
                <w:b w:val="0"/>
                <w:sz w:val="21"/>
              </w:rPr>
              <w:t>完成100km线路</w:t>
            </w:r>
          </w:p>
        </w:tc>
        <w:tc>
          <w:tcPr>
            <w:tcW w:type="dxa" w:w="2161"/>
          </w:tcPr>
          <w:p>
            <w:pPr>
              <w:jc w:val="center"/>
            </w:pPr>
            <w:r/>
            <w:r>
              <w:rPr>
                <w:rFonts w:ascii="宋体" w:hAnsi="宋体" w:eastAsia="宋体"/>
                <w:b w:val="0"/>
                <w:sz w:val="21"/>
              </w:rPr>
              <w:t>4人×6h = 24人·时</w:t>
            </w:r>
          </w:p>
        </w:tc>
        <w:tc>
          <w:tcPr>
            <w:tcW w:type="dxa" w:w="2161"/>
          </w:tcPr>
          <w:p>
            <w:pPr>
              <w:jc w:val="center"/>
            </w:pPr>
            <w:r/>
            <w:r>
              <w:rPr>
                <w:rFonts w:ascii="宋体" w:hAnsi="宋体" w:eastAsia="宋体"/>
                <w:b w:val="0"/>
                <w:sz w:val="21"/>
              </w:rPr>
              <w:t>1人×50min ≈ 0.83人·时</w:t>
            </w:r>
          </w:p>
        </w:tc>
        <w:tc>
          <w:tcPr>
            <w:tcW w:type="dxa" w:w="2161"/>
          </w:tcPr>
          <w:p>
            <w:pPr>
              <w:jc w:val="center"/>
            </w:pPr>
            <w:r/>
            <w:r>
              <w:rPr>
                <w:rFonts w:ascii="宋体" w:hAnsi="宋体" w:eastAsia="宋体"/>
                <w:b w:val="0"/>
                <w:sz w:val="21"/>
              </w:rPr>
              <w:t>约29倍</w:t>
            </w:r>
          </w:p>
        </w:tc>
      </w:tr>
      <w:tr>
        <w:tc>
          <w:tcPr>
            <w:tcW w:type="dxa" w:w="2161"/>
          </w:tcPr>
          <w:p>
            <w:pPr>
              <w:jc w:val="center"/>
            </w:pPr>
            <w:r/>
            <w:r>
              <w:rPr>
                <w:rFonts w:ascii="宋体" w:hAnsi="宋体" w:eastAsia="宋体"/>
                <w:b w:val="0"/>
                <w:sz w:val="21"/>
              </w:rPr>
              <w:t>日检测里程</w:t>
            </w:r>
          </w:p>
        </w:tc>
        <w:tc>
          <w:tcPr>
            <w:tcW w:type="dxa" w:w="2161"/>
          </w:tcPr>
          <w:p>
            <w:pPr>
              <w:jc w:val="center"/>
            </w:pPr>
            <w:r/>
            <w:r>
              <w:rPr>
                <w:rFonts w:ascii="宋体" w:hAnsi="宋体" w:eastAsia="宋体"/>
                <w:b w:val="0"/>
                <w:sz w:val="21"/>
              </w:rPr>
              <w:t>约9km</w:t>
            </w:r>
          </w:p>
        </w:tc>
        <w:tc>
          <w:tcPr>
            <w:tcW w:type="dxa" w:w="2161"/>
          </w:tcPr>
          <w:p>
            <w:pPr>
              <w:jc w:val="center"/>
            </w:pPr>
            <w:r/>
            <w:r>
              <w:rPr>
                <w:rFonts w:ascii="宋体" w:hAnsi="宋体" w:eastAsia="宋体"/>
                <w:b w:val="0"/>
                <w:sz w:val="21"/>
              </w:rPr>
              <w:t>16.2km</w:t>
            </w:r>
          </w:p>
        </w:tc>
        <w:tc>
          <w:tcPr>
            <w:tcW w:type="dxa" w:w="2161"/>
          </w:tcPr>
          <w:p>
            <w:pPr>
              <w:jc w:val="center"/>
            </w:pPr>
            <w:r/>
            <w:r>
              <w:rPr>
                <w:rFonts w:ascii="宋体" w:hAnsi="宋体" w:eastAsia="宋体"/>
                <w:b w:val="0"/>
                <w:sz w:val="21"/>
              </w:rPr>
              <w:t>提升80%</w:t>
            </w:r>
          </w:p>
        </w:tc>
      </w:tr>
      <w:tr>
        <w:tc>
          <w:tcPr>
            <w:tcW w:type="dxa" w:w="2161"/>
          </w:tcPr>
          <w:p>
            <w:pPr>
              <w:jc w:val="center"/>
            </w:pPr>
            <w:r/>
            <w:r>
              <w:rPr>
                <w:rFonts w:ascii="宋体" w:hAnsi="宋体" w:eastAsia="宋体"/>
                <w:b w:val="0"/>
                <w:sz w:val="21"/>
              </w:rPr>
              <w:t>数据可追溯性</w:t>
            </w:r>
          </w:p>
        </w:tc>
        <w:tc>
          <w:tcPr>
            <w:tcW w:type="dxa" w:w="2161"/>
          </w:tcPr>
          <w:p>
            <w:pPr>
              <w:jc w:val="center"/>
            </w:pPr>
            <w:r/>
            <w:r>
              <w:rPr>
                <w:rFonts w:ascii="宋体" w:hAnsi="宋体" w:eastAsia="宋体"/>
                <w:b w:val="0"/>
                <w:sz w:val="21"/>
              </w:rPr>
              <w:t>纸质记录，离散分布</w:t>
            </w:r>
          </w:p>
        </w:tc>
        <w:tc>
          <w:tcPr>
            <w:tcW w:type="dxa" w:w="2161"/>
          </w:tcPr>
          <w:p>
            <w:pPr>
              <w:jc w:val="center"/>
            </w:pPr>
            <w:r/>
            <w:r>
              <w:rPr>
                <w:rFonts w:ascii="宋体" w:hAnsi="宋体" w:eastAsia="宋体"/>
                <w:b w:val="0"/>
                <w:sz w:val="21"/>
              </w:rPr>
              <w:t>数字化，全量存储</w:t>
            </w:r>
          </w:p>
        </w:tc>
        <w:tc>
          <w:tcPr>
            <w:tcW w:type="dxa" w:w="2161"/>
          </w:tcPr>
          <w:p>
            <w:pPr>
              <w:jc w:val="center"/>
            </w:pPr>
            <w:r/>
            <w:r>
              <w:rPr>
                <w:rFonts w:ascii="宋体" w:hAnsi="宋体" w:eastAsia="宋体"/>
                <w:b w:val="0"/>
                <w:sz w:val="21"/>
              </w:rPr>
              <w:t>质的飞跃</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综合检测系统以单人操作实现了传统4人团队约29倍的效率提升（按人·时计），单日检测里程达16.2km，数据质量稳定、可追溯，消除了人工巡检的结果离散性问题。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6.7 长时间运行稳定性实验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系统在连续12小时不间断运行条件下，每小时记录一次各传感器数据质量和AI推理时延。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12小时连续运行期间，姿态传感器数据丢帧率&lt;0.01%，相机数据丢帧率&lt;0.1%，AI推理时延稳定在23~26ms区间（平均24.5ms），无明显退化趋势，验证了系统在长时间运行条件下的稳定性。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