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0" w:after="60" w:line="360" w:lineRule="auto"/>
        <w:jc w:val="center"/>
      </w:pPr>
      <w:r>
        <w:rPr>
          <w:rFonts w:ascii="宋体" w:hAnsi="宋体" w:eastAsia="宋体"/>
          <w:b w:val="0"/>
          <w:sz w:val="21"/>
        </w:rPr>
        <w:t>张三¹  李四¹  王五¹  赵六¹  钱七¹  孙八²  周九²  吴十²  郑甲²  冯乙²</w:t>
      </w:r>
    </w:p>
    <w:p>
      <w:pPr>
        <w:spacing w:before="0" w:after="60" w:line="360" w:lineRule="auto"/>
        <w:jc w:val="center"/>
      </w:pPr>
      <w:r>
        <w:rPr>
          <w:rFonts w:ascii="宋体" w:hAnsi="宋体" w:eastAsia="宋体"/>
          <w:b w:val="0"/>
          <w:sz w:val="21"/>
        </w:rPr>
        <w:t>1. 济南铁路局科研所，山东 济南  250000</w:t>
      </w:r>
    </w:p>
    <w:p>
      <w:pPr>
        <w:spacing w:before="0" w:after="60" w:line="360" w:lineRule="auto"/>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C00000"/>
          <w:sz w:val="32"/>
        </w:rPr>
        <w:t>摘  要</w:t>
      </w:r>
    </w:p>
    <w:p>
      <w:pPr>
        <w:spacing w:before="0"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before="0"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按人·时计提升约48倍）和系统可靠性（融合判定准确率97.5%）等方面均达到预期目标，具备替代或辅助传统人工巡检的实际应用价值。</w:t>
      </w:r>
    </w:p>
    <w:p>
      <w:pPr>
        <w:spacing w:before="120" w:after="120" w:line="360" w:lineRule="auto"/>
        <w:jc w:val="left"/>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before="0"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before="0" w:after="120" w:line="360" w:lineRule="auto"/>
        <w:ind w:firstLine="420"/>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jc w:val="left"/>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第1章 绪论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1.1 研究背景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效率低下。 人工步行巡检速度仅1.1~1.5 km/h，日均工作6小时最大检测里程不足9km。对于我国庞大的铁路网，完成全线巡检需要投入大量人力与时间成本，效率低下且人员调度复杂。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数据质量不可靠。 传统巡检依赖人工手写记录，数据格式不统一、标准不规范，不同人员、不同时段的检测结果离散分布，难以支撑科学的线路健康评估和养护决策。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检测质量不稳定。 人工巡检结果高度依赖巡检人员的工作经验、责任心和当日身体状态，同一位巡检员在不同时间段的检测结果也存在波动，存在漏检、误检风险。</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夜间及恶劣天气盲区。 铁路病害并非均匀分布，夜间及恶劣天气条件下往往病害发生率更高，而人工巡检在夜间及恶劣天气下作业困难，形成运维盲区。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综合成本高昂。 铁路线路巡检需要投入大量巡检人员、管理人员和后勤保障队伍，人力成本持续攀升。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综上，铁路线路检测面临着效率、质量、成本、安全四大方面的严峻挑战，传统人工巡检模式已难以满足现代化铁路运维需求[3]。</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1.2 国内外研究现状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铁路线路检测技术经历了从人工巡检到机械化、智能化检测的发展历程。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1.3 本文主要工作与创新点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（1）主要工作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提出了综合考虑缺陷等级、密度和里程分布的区段健康评分方法，为养护决策提供量化依据。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（3）论文结构安排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本文共分为七章，各章内容安排如下：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第1章 绪论——阐述研究背景，分析国内外研究现状，指出现有研究的不足，明确本文的研究目标。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第2章 系统总体设计——提出综合检测理念，进行需求分析和系统架构设计，给出系统技术参数和工作流程。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参考文献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 国家铁路局。 2023年铁道统计公报[R]. 北京： 国家铁路局， 2024.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第2章 系统总体设计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2.1 综合检测理念阐述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本文提出并定义的"综合检测"是指：利用一套集成化的检测装备，在单次出行中同步完成多项检测功能，各功能共享同一时空基准，数据天然对齐。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2.2 系统功能需求分析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本文系统需同步实现以下8项检测功能：</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检测对象</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w:t>
            </w:r>
          </w:p>
        </w:tc>
        <w:tc>
          <w:tcPr>
            <w:tcW w:type="dxa" w:w="2161"/>
          </w:tcPr>
          <w:p>
            <w:pPr>
              <w:jc w:val="center"/>
            </w:pPr>
            <w:r/>
            <w:r>
              <w:rPr>
                <w:rFonts w:ascii="宋体" w:hAnsi="宋体" w:eastAsia="宋体"/>
                <w:b w:val="0"/>
                <w:sz w:val="21"/>
              </w:rPr>
              <w:t>缺陷类型、位置、置信度、等级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位置统计、数量统计、状态等级</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磨耗量、横移量、廓形偏差</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波长、波深、分布里程</w:t>
            </w:r>
          </w:p>
        </w:tc>
        <w:tc>
          <w:tcPr>
            <w:tcW w:type="dxa" w:w="2161"/>
          </w:tcPr>
          <w:p>
            <w:pPr>
              <w:jc w:val="center"/>
            </w:pPr>
            <w:r/>
            <w:r>
              <w:rPr>
                <w:rFonts w:ascii="宋体" w:hAnsi="宋体" w:eastAsia="宋体"/>
                <w:b w:val="0"/>
                <w:sz w:val="21"/>
              </w:rPr>
              <w:t>劣化程度、建议维修区段</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焊缝缺陷类型、等级</w:t>
            </w:r>
          </w:p>
        </w:tc>
        <w:tc>
          <w:tcPr>
            <w:tcW w:type="dxa" w:w="2161"/>
          </w:tcPr>
          <w:p>
            <w:pPr>
              <w:jc w:val="center"/>
            </w:pPr>
            <w:r/>
            <w:r>
              <w:rPr>
                <w:rFonts w:ascii="宋体" w:hAnsi="宋体" w:eastAsia="宋体"/>
                <w:b w:val="0"/>
                <w:sz w:val="21"/>
              </w:rPr>
              <w:t>缺陷位置标记、等级</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左右轨内侧距</w:t>
            </w:r>
          </w:p>
        </w:tc>
        <w:tc>
          <w:tcPr>
            <w:tcW w:type="dxa" w:w="2161"/>
          </w:tcPr>
          <w:p>
            <w:pPr>
              <w:jc w:val="center"/>
            </w:pPr>
            <w:r/>
            <w:r>
              <w:rPr>
                <w:rFonts w:ascii="宋体" w:hAnsi="宋体" w:eastAsia="宋体"/>
                <w:b w:val="0"/>
                <w:sz w:val="21"/>
              </w:rPr>
              <w:t>轨距实际值、偏差值、超限标记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左右轨超高差</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垂向不平顺</w:t>
            </w:r>
          </w:p>
        </w:tc>
        <w:tc>
          <w:tcPr>
            <w:tcW w:type="dxa" w:w="2161"/>
          </w:tcPr>
          <w:p>
            <w:pPr>
              <w:jc w:val="center"/>
            </w:pPr>
            <w:r/>
            <w:r>
              <w:rPr>
                <w:rFonts w:ascii="宋体" w:hAnsi="宋体" w:eastAsia="宋体"/>
                <w:b w:val="0"/>
                <w:sz w:val="21"/>
              </w:rPr>
              <w:t>高低不平顺值、长波/短波偏差</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2.3 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系统采用"感知层—计算层—应用层"三层架构，各层职责明确、接口清晰。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层由多套异构传感器组成，包括6路2D工业相机（2448×2048@20fps）、2路3D线激光（100Hz）、1套姿态传感器（HWT905，200Hz）和1套单点测距传感器（2000Hz）。各传感器通过统一时空基准（帧编号+里程坐标+UTC时间戳）实现数据对齐，为后续融合判定提供数据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应用层包括本地交互界面（7寸触控屏）和远程监控平台（Web架构）。本地交互界面用于现场操作控制，远程监控平台支持检测数据的实时查看、历史回放和养护报告导出，并通过4G/5G网络实时接收异常告警。</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2.4 系统技术参数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2D工业相机</w:t>
            </w:r>
          </w:p>
        </w:tc>
        <w:tc>
          <w:tcPr>
            <w:tcW w:type="dxa" w:w="4323"/>
          </w:tcPr>
          <w:p>
            <w:pPr>
              <w:jc w:val="center"/>
            </w:pPr>
            <w:r/>
            <w:r>
              <w:rPr>
                <w:rFonts w:ascii="宋体" w:hAnsi="宋体" w:eastAsia="宋体"/>
                <w:b w:val="0"/>
                <w:sz w:val="21"/>
              </w:rPr>
              <w:t>6路，2448×2048 px，20 fps，千兆以太网</w:t>
            </w:r>
          </w:p>
        </w:tc>
      </w:tr>
      <w:tr>
        <w:tc>
          <w:tcPr>
            <w:tcW w:type="dxa" w:w="4323"/>
          </w:tcPr>
          <w:p>
            <w:pPr>
              <w:jc w:val="center"/>
            </w:pPr>
            <w:r/>
            <w:r>
              <w:rPr>
                <w:rFonts w:ascii="宋体" w:hAnsi="宋体" w:eastAsia="宋体"/>
                <w:b w:val="0"/>
                <w:sz w:val="21"/>
              </w:rPr>
              <w:t>3D线激光</w:t>
            </w:r>
          </w:p>
        </w:tc>
        <w:tc>
          <w:tcPr>
            <w:tcW w:type="dxa" w:w="4323"/>
          </w:tcPr>
          <w:p>
            <w:pPr>
              <w:jc w:val="center"/>
            </w:pPr>
            <w:r/>
            <w:r>
              <w:rPr>
                <w:rFonts w:ascii="宋体" w:hAnsi="宋体" w:eastAsia="宋体"/>
                <w:b w:val="0"/>
                <w:sz w:val="21"/>
              </w:rPr>
              <w:t>2路，100 Hz，扫描频率优于2000 Hz/线</w:t>
            </w:r>
          </w:p>
        </w:tc>
      </w:tr>
      <w:tr>
        <w:tc>
          <w:tcPr>
            <w:tcW w:type="dxa" w:w="4323"/>
          </w:tcPr>
          <w:p>
            <w:pPr>
              <w:jc w:val="center"/>
            </w:pPr>
            <w:r/>
            <w:r>
              <w:rPr>
                <w:rFonts w:ascii="宋体" w:hAnsi="宋体" w:eastAsia="宋体"/>
                <w:b w:val="0"/>
                <w:sz w:val="21"/>
              </w:rPr>
              <w:t>姿态传感器采样率</w:t>
            </w:r>
          </w:p>
        </w:tc>
        <w:tc>
          <w:tcPr>
            <w:tcW w:type="dxa" w:w="4323"/>
          </w:tcPr>
          <w:p>
            <w:pPr>
              <w:jc w:val="center"/>
            </w:pPr>
            <w:r/>
            <w:r>
              <w:rPr>
                <w:rFonts w:ascii="宋体" w:hAnsi="宋体" w:eastAsia="宋体"/>
                <w:b w:val="0"/>
                <w:sz w:val="21"/>
              </w:rPr>
              <w:t>200 Hz（HWT905）</w:t>
            </w:r>
          </w:p>
        </w:tc>
      </w:tr>
      <w:tr>
        <w:tc>
          <w:tcPr>
            <w:tcW w:type="dxa" w:w="4323"/>
          </w:tcPr>
          <w:p>
            <w:pPr>
              <w:jc w:val="center"/>
            </w:pPr>
            <w:r/>
            <w:r>
              <w:rPr>
                <w:rFonts w:ascii="宋体" w:hAnsi="宋体" w:eastAsia="宋体"/>
                <w:b w:val="0"/>
                <w:sz w:val="21"/>
              </w:rPr>
              <w:t>单点测距传感器采样率</w:t>
            </w:r>
          </w:p>
        </w:tc>
        <w:tc>
          <w:tcPr>
            <w:tcW w:type="dxa" w:w="4323"/>
          </w:tcPr>
          <w:p>
            <w:pPr>
              <w:jc w:val="center"/>
            </w:pPr>
            <w:r/>
            <w:r>
              <w:rPr>
                <w:rFonts w:ascii="宋体" w:hAnsi="宋体" w:eastAsia="宋体"/>
                <w:b w:val="0"/>
                <w:sz w:val="21"/>
              </w:rPr>
              <w:t>2000 Hz</w:t>
            </w:r>
          </w:p>
        </w:tc>
      </w:tr>
      <w:tr>
        <w:tc>
          <w:tcPr>
            <w:tcW w:type="dxa" w:w="4323"/>
          </w:tcPr>
          <w:p>
            <w:pPr>
              <w:jc w:val="center"/>
            </w:pPr>
            <w:r/>
            <w:r>
              <w:rPr>
                <w:rFonts w:ascii="宋体" w:hAnsi="宋体" w:eastAsia="宋体"/>
                <w:b w:val="0"/>
                <w:sz w:val="21"/>
              </w:rPr>
              <w:t>测距传感器矩阵精度</w:t>
            </w:r>
          </w:p>
        </w:tc>
        <w:tc>
          <w:tcPr>
            <w:tcW w:type="dxa" w:w="4323"/>
          </w:tcPr>
          <w:p>
            <w:pPr>
              <w:jc w:val="center"/>
            </w:pPr>
            <w:r/>
            <w:r>
              <w:rPr>
                <w:rFonts w:ascii="宋体" w:hAnsi="宋体" w:eastAsia="宋体"/>
                <w:b w:val="0"/>
                <w:sz w:val="21"/>
              </w:rPr>
              <w:t>±0.1 mm（轨距检测）</w:t>
            </w:r>
          </w:p>
        </w:tc>
      </w:tr>
      <w:tr>
        <w:tc>
          <w:tcPr>
            <w:tcW w:type="dxa" w:w="4323"/>
          </w:tcPr>
          <w:p>
            <w:pPr>
              <w:jc w:val="center"/>
            </w:pPr>
            <w:r/>
            <w:r>
              <w:rPr>
                <w:rFonts w:ascii="宋体" w:hAnsi="宋体" w:eastAsia="宋体"/>
                <w:b w:val="0"/>
                <w:sz w:val="21"/>
              </w:rPr>
              <w:t>最高检测速度</w:t>
            </w:r>
          </w:p>
        </w:tc>
        <w:tc>
          <w:tcPr>
            <w:tcW w:type="dxa" w:w="4323"/>
          </w:tcPr>
          <w:p>
            <w:pPr>
              <w:jc w:val="center"/>
            </w:pPr>
            <w:r/>
            <w:r>
              <w:rPr>
                <w:rFonts w:ascii="宋体" w:hAnsi="宋体" w:eastAsia="宋体"/>
                <w:b w:val="0"/>
                <w:sz w:val="21"/>
              </w:rPr>
              <w:t>1 m/s（常规）/ 0.5 m/s（精细）</w:t>
            </w:r>
          </w:p>
        </w:tc>
      </w:tr>
      <w:tr>
        <w:tc>
          <w:tcPr>
            <w:tcW w:type="dxa" w:w="4323"/>
          </w:tcPr>
          <w:p>
            <w:pPr>
              <w:jc w:val="center"/>
            </w:pPr>
            <w:r/>
            <w:r>
              <w:rPr>
                <w:rFonts w:ascii="宋体" w:hAnsi="宋体" w:eastAsia="宋体"/>
                <w:b w:val="0"/>
                <w:sz w:val="21"/>
              </w:rPr>
              <w:t>单日最大检测里程</w:t>
            </w:r>
          </w:p>
        </w:tc>
        <w:tc>
          <w:tcPr>
            <w:tcW w:type="dxa" w:w="4323"/>
          </w:tcPr>
          <w:p>
            <w:pPr>
              <w:jc w:val="center"/>
            </w:pPr>
            <w:r/>
            <w:r>
              <w:rPr>
                <w:rFonts w:ascii="宋体" w:hAnsi="宋体" w:eastAsia="宋体"/>
                <w:b w:val="0"/>
                <w:sz w:val="21"/>
              </w:rPr>
              <w:t>16.2 km</w:t>
            </w:r>
          </w:p>
        </w:tc>
      </w:tr>
      <w:tr>
        <w:tc>
          <w:tcPr>
            <w:tcW w:type="dxa" w:w="4323"/>
          </w:tcPr>
          <w:p>
            <w:pPr>
              <w:jc w:val="center"/>
            </w:pPr>
            <w:r/>
            <w:r>
              <w:rPr>
                <w:rFonts w:ascii="宋体" w:hAnsi="宋体" w:eastAsia="宋体"/>
                <w:b w:val="0"/>
                <w:sz w:val="21"/>
              </w:rPr>
              <w:t>轨距检测精度</w:t>
            </w:r>
          </w:p>
        </w:tc>
        <w:tc>
          <w:tcPr>
            <w:tcW w:type="dxa" w:w="4323"/>
          </w:tcPr>
          <w:p>
            <w:pPr>
              <w:jc w:val="center"/>
            </w:pPr>
            <w:r/>
            <w:r>
              <w:rPr>
                <w:rFonts w:ascii="宋体" w:hAnsi="宋体" w:eastAsia="宋体"/>
                <w:b w:val="0"/>
                <w:sz w:val="21"/>
              </w:rPr>
              <w:t>±0.2 mm</w:t>
            </w:r>
          </w:p>
        </w:tc>
      </w:tr>
      <w:tr>
        <w:tc>
          <w:tcPr>
            <w:tcW w:type="dxa" w:w="4323"/>
          </w:tcPr>
          <w:p>
            <w:pPr>
              <w:jc w:val="center"/>
            </w:pPr>
            <w:r/>
            <w:r>
              <w:rPr>
                <w:rFonts w:ascii="宋体" w:hAnsi="宋体" w:eastAsia="宋体"/>
                <w:b w:val="0"/>
                <w:sz w:val="21"/>
              </w:rPr>
              <w:t>AI缺陷检测mAP@0.5</w:t>
            </w:r>
          </w:p>
        </w:tc>
        <w:tc>
          <w:tcPr>
            <w:tcW w:type="dxa" w:w="4323"/>
          </w:tcPr>
          <w:p>
            <w:pPr>
              <w:jc w:val="center"/>
            </w:pPr>
            <w:r/>
            <w:r>
              <w:rPr>
                <w:rFonts w:ascii="宋体" w:hAnsi="宋体" w:eastAsia="宋体"/>
                <w:b w:val="0"/>
                <w:sz w:val="21"/>
              </w:rPr>
              <w:t>92.5%</w:t>
            </w:r>
          </w:p>
        </w:tc>
      </w:tr>
      <w:tr>
        <w:tc>
          <w:tcPr>
            <w:tcW w:type="dxa" w:w="4323"/>
          </w:tcPr>
          <w:p>
            <w:pPr>
              <w:jc w:val="center"/>
            </w:pPr>
            <w:r/>
            <w:r>
              <w:rPr>
                <w:rFonts w:ascii="宋体" w:hAnsi="宋体" w:eastAsia="宋体"/>
                <w:b w:val="0"/>
                <w:sz w:val="21"/>
              </w:rPr>
              <w:t>融合判定准确率</w:t>
            </w:r>
          </w:p>
        </w:tc>
        <w:tc>
          <w:tcPr>
            <w:tcW w:type="dxa" w:w="4323"/>
          </w:tcPr>
          <w:p>
            <w:pPr>
              <w:jc w:val="center"/>
            </w:pPr>
            <w:r/>
            <w:r>
              <w:rPr>
                <w:rFonts w:ascii="宋体" w:hAnsi="宋体" w:eastAsia="宋体"/>
                <w:b w:val="0"/>
                <w:sz w:val="21"/>
              </w:rPr>
              <w:t>97.5%</w:t>
            </w:r>
          </w:p>
        </w:tc>
      </w:tr>
      <w:tr>
        <w:tc>
          <w:tcPr>
            <w:tcW w:type="dxa" w:w="4323"/>
          </w:tcPr>
          <w:p>
            <w:pPr>
              <w:jc w:val="center"/>
            </w:pPr>
            <w:r/>
            <w:r>
              <w:rPr>
                <w:rFonts w:ascii="宋体" w:hAnsi="宋体" w:eastAsia="宋体"/>
                <w:b w:val="0"/>
                <w:sz w:val="21"/>
              </w:rPr>
              <w:t>伺服驱动</w:t>
            </w:r>
          </w:p>
        </w:tc>
        <w:tc>
          <w:tcPr>
            <w:tcW w:type="dxa" w:w="4323"/>
          </w:tcPr>
          <w:p>
            <w:pPr>
              <w:jc w:val="center"/>
            </w:pPr>
            <w:r/>
            <w:r>
              <w:rPr>
                <w:rFonts w:ascii="宋体" w:hAnsi="宋体" w:eastAsia="宋体"/>
                <w:b w:val="0"/>
                <w:sz w:val="21"/>
              </w:rPr>
              <w:t>EtherCAT硬实时总线，毫秒级响应</w:t>
            </w:r>
          </w:p>
        </w:tc>
      </w:tr>
      <w:tr>
        <w:tc>
          <w:tcPr>
            <w:tcW w:type="dxa" w:w="4323"/>
          </w:tcPr>
          <w:p>
            <w:pPr>
              <w:jc w:val="center"/>
            </w:pPr>
            <w:r/>
            <w:r>
              <w:rPr>
                <w:rFonts w:ascii="宋体" w:hAnsi="宋体" w:eastAsia="宋体"/>
                <w:b w:val="0"/>
                <w:sz w:val="21"/>
              </w:rPr>
              <w:t>工控机防护等级</w:t>
            </w:r>
          </w:p>
        </w:tc>
        <w:tc>
          <w:tcPr>
            <w:tcW w:type="dxa" w:w="4323"/>
          </w:tcPr>
          <w:p>
            <w:pPr>
              <w:jc w:val="center"/>
            </w:pPr>
            <w:r/>
            <w:r>
              <w:rPr>
                <w:rFonts w:ascii="宋体" w:hAnsi="宋体" w:eastAsia="宋体"/>
                <w:b w:val="0"/>
                <w:sz w:val="21"/>
              </w:rPr>
              <w:t>IP54</w:t>
            </w:r>
          </w:p>
        </w:tc>
      </w:tr>
      <w:tr>
        <w:tc>
          <w:tcPr>
            <w:tcW w:type="dxa" w:w="4323"/>
          </w:tcPr>
          <w:p>
            <w:pPr>
              <w:jc w:val="center"/>
            </w:pPr>
            <w:r/>
            <w:r>
              <w:rPr>
                <w:rFonts w:ascii="宋体" w:hAnsi="宋体" w:eastAsia="宋体"/>
                <w:b w:val="0"/>
                <w:sz w:val="21"/>
              </w:rPr>
              <w:t>传感器防护等级</w:t>
            </w:r>
          </w:p>
        </w:tc>
        <w:tc>
          <w:tcPr>
            <w:tcW w:type="dxa" w:w="4323"/>
          </w:tcPr>
          <w:p>
            <w:pPr>
              <w:jc w:val="center"/>
            </w:pPr>
            <w:r/>
            <w:r>
              <w:rPr>
                <w:rFonts w:ascii="宋体" w:hAnsi="宋体" w:eastAsia="宋体"/>
                <w:b w:val="0"/>
                <w:sz w:val="21"/>
              </w:rPr>
              <w:t>IP67</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2.5 系统工作流程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第3章 硬件系统设计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3.1 综合检测硬件架构设计理念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综合检测系统对硬件平台提出了更高要求：多套异构传感器必须在同一移动平台上协同工作，且各传感器数据必须能够精确对齐至统一时空基准。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3.2 感知系统设计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感知系统配置见下表：</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关键参数</w:t>
            </w:r>
          </w:p>
        </w:tc>
        <w:tc>
          <w:tcPr>
            <w:tcW w:type="dxa" w:w="2161"/>
            <w:shd w:val="clear" w:color="auto" w:fill="D9E2F3"/>
          </w:tcPr>
          <w:p>
            <w:pPr>
              <w:jc w:val="center"/>
            </w:pPr>
            <w:r/>
            <w:r>
              <w:rPr>
                <w:rFonts w:ascii="宋体" w:hAnsi="宋体" w:eastAsia="宋体"/>
                <w:b/>
                <w:sz w:val="21"/>
              </w:rPr>
              <w:t>安装位置</w:t>
            </w:r>
          </w:p>
        </w:tc>
      </w:tr>
      <w:tr>
        <w:tc>
          <w:tcPr>
            <w:tcW w:type="dxa" w:w="2161"/>
          </w:tcPr>
          <w:p>
            <w:pPr>
              <w:jc w:val="center"/>
            </w:pPr>
            <w:r/>
            <w:r>
              <w:rPr>
                <w:rFonts w:ascii="宋体" w:hAnsi="宋体" w:eastAsia="宋体"/>
                <w:b w:val="0"/>
                <w:sz w:val="21"/>
              </w:rPr>
              <w:t>2D工业相机</w:t>
            </w:r>
          </w:p>
        </w:tc>
        <w:tc>
          <w:tcPr>
            <w:tcW w:type="dxa" w:w="2161"/>
          </w:tcPr>
          <w:p>
            <w:pPr>
              <w:jc w:val="center"/>
            </w:pPr>
            <w:r/>
            <w:r>
              <w:rPr>
                <w:rFonts w:ascii="宋体" w:hAnsi="宋体" w:eastAsia="宋体"/>
                <w:b w:val="0"/>
                <w:sz w:val="21"/>
              </w:rPr>
              <w:t>6路</w:t>
            </w:r>
          </w:p>
        </w:tc>
        <w:tc>
          <w:tcPr>
            <w:tcW w:type="dxa" w:w="2161"/>
          </w:tcPr>
          <w:p>
            <w:pPr>
              <w:jc w:val="center"/>
            </w:pPr>
            <w:r/>
            <w:r>
              <w:rPr>
                <w:rFonts w:ascii="宋体" w:hAnsi="宋体" w:eastAsia="宋体"/>
                <w:b w:val="0"/>
                <w:sz w:val="21"/>
              </w:rPr>
              <w:t>2448×2048@20fps，千兆以太网</w:t>
            </w:r>
          </w:p>
        </w:tc>
        <w:tc>
          <w:tcPr>
            <w:tcW w:type="dxa" w:w="2161"/>
          </w:tcPr>
          <w:p>
            <w:pPr>
              <w:jc w:val="center"/>
            </w:pPr>
            <w:r/>
            <w:r>
              <w:rPr>
                <w:rFonts w:ascii="宋体" w:hAnsi="宋体" w:eastAsia="宋体"/>
                <w:b w:val="0"/>
                <w:sz w:val="21"/>
              </w:rPr>
              <w:t>车架中部，斜向下45°</w:t>
            </w:r>
          </w:p>
        </w:tc>
      </w:tr>
      <w:tr>
        <w:tc>
          <w:tcPr>
            <w:tcW w:type="dxa" w:w="2161"/>
          </w:tcPr>
          <w:p>
            <w:pPr>
              <w:jc w:val="center"/>
            </w:pPr>
            <w:r/>
            <w:r>
              <w:rPr>
                <w:rFonts w:ascii="宋体" w:hAnsi="宋体" w:eastAsia="宋体"/>
                <w:b w:val="0"/>
                <w:sz w:val="21"/>
              </w:rPr>
              <w:t>3D线激光</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100Hz，垂直朝下</w:t>
            </w:r>
          </w:p>
        </w:tc>
        <w:tc>
          <w:tcPr>
            <w:tcW w:type="dxa" w:w="2161"/>
          </w:tcPr>
          <w:p>
            <w:pPr>
              <w:jc w:val="center"/>
            </w:pPr>
            <w:r/>
            <w:r>
              <w:rPr>
                <w:rFonts w:ascii="宋体" w:hAnsi="宋体" w:eastAsia="宋体"/>
                <w:b w:val="0"/>
                <w:sz w:val="21"/>
              </w:rPr>
              <w:t>车架底部，左右轨正上方</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200Hz，±80°横滚/俯仰角</w:t>
            </w:r>
          </w:p>
        </w:tc>
        <w:tc>
          <w:tcPr>
            <w:tcW w:type="dxa" w:w="2161"/>
          </w:tcPr>
          <w:p>
            <w:pPr>
              <w:jc w:val="center"/>
            </w:pPr>
            <w:r/>
            <w:r>
              <w:rPr>
                <w:rFonts w:ascii="宋体" w:hAnsi="宋体" w:eastAsia="宋体"/>
                <w:b w:val="0"/>
                <w:sz w:val="21"/>
              </w:rPr>
              <w:t>车体中心</w:t>
            </w:r>
          </w:p>
        </w:tc>
      </w:tr>
      <w:tr>
        <w:tc>
          <w:tcPr>
            <w:tcW w:type="dxa" w:w="2161"/>
          </w:tcPr>
          <w:p>
            <w:pPr>
              <w:jc w:val="center"/>
            </w:pPr>
            <w:r/>
            <w:r>
              <w:rPr>
                <w:rFonts w:ascii="宋体" w:hAnsi="宋体" w:eastAsia="宋体"/>
                <w:b w:val="0"/>
                <w:sz w:val="21"/>
              </w:rPr>
              <w:t>单点测距传感器</w:t>
            </w:r>
          </w:p>
        </w:tc>
        <w:tc>
          <w:tcPr>
            <w:tcW w:type="dxa" w:w="2161"/>
          </w:tcPr>
          <w:p>
            <w:pPr>
              <w:jc w:val="center"/>
            </w:pPr>
            <w:r/>
            <w:r>
              <w:rPr>
                <w:rFonts w:ascii="宋体" w:hAnsi="宋体" w:eastAsia="宋体"/>
                <w:b w:val="0"/>
                <w:sz w:val="21"/>
              </w:rPr>
              <w:t>2套</w:t>
            </w:r>
          </w:p>
        </w:tc>
        <w:tc>
          <w:tcPr>
            <w:tcW w:type="dxa" w:w="2161"/>
          </w:tcPr>
          <w:p>
            <w:pPr>
              <w:jc w:val="center"/>
            </w:pPr>
            <w:r/>
            <w:r>
              <w:rPr>
                <w:rFonts w:ascii="宋体" w:hAnsi="宋体" w:eastAsia="宋体"/>
                <w:b w:val="0"/>
                <w:sz w:val="21"/>
              </w:rPr>
              <w:t>2000Hz，精度±0.15mm</w:t>
            </w:r>
          </w:p>
        </w:tc>
        <w:tc>
          <w:tcPr>
            <w:tcW w:type="dxa" w:w="2161"/>
          </w:tcPr>
          <w:p>
            <w:pPr>
              <w:jc w:val="center"/>
            </w:pPr>
            <w:r/>
            <w:r>
              <w:rPr>
                <w:rFonts w:ascii="宋体" w:hAnsi="宋体" w:eastAsia="宋体"/>
                <w:b w:val="0"/>
                <w:sz w:val="21"/>
              </w:rPr>
              <w:t>车架底部，垂直朝下（用于高低检测）</w:t>
            </w:r>
          </w:p>
        </w:tc>
      </w:tr>
      <w:tr>
        <w:tc>
          <w:tcPr>
            <w:tcW w:type="dxa" w:w="2161"/>
          </w:tcPr>
          <w:p>
            <w:pPr>
              <w:jc w:val="center"/>
            </w:pPr>
            <w:r/>
            <w:r>
              <w:rPr>
                <w:rFonts w:ascii="宋体" w:hAnsi="宋体" w:eastAsia="宋体"/>
                <w:b w:val="0"/>
                <w:sz w:val="21"/>
              </w:rPr>
              <w:t>测距传感器矩阵</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精度±0.1mm，4轴以上</w:t>
            </w:r>
          </w:p>
        </w:tc>
        <w:tc>
          <w:tcPr>
            <w:tcW w:type="dxa" w:w="2161"/>
          </w:tcPr>
          <w:p>
            <w:pPr>
              <w:jc w:val="center"/>
            </w:pPr>
            <w:r/>
            <w:r>
              <w:rPr>
                <w:rFonts w:ascii="宋体" w:hAnsi="宋体" w:eastAsia="宋体"/>
                <w:b w:val="0"/>
                <w:sz w:val="21"/>
              </w:rPr>
              <w:t>车架底部，水平朝向左右轨（用于轨距检测）</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6路2D相机中，Cam0/Cam1用于拍摄轨面缺陷（裂纹、掉块），Cam2/Cam3用于拍摄道钉/螺栓状态，Cam4/Cam5用于辅助检测。2路3D线激光分别对应左轨和右轨轨头轮廓检测，激光平面垂直朝下。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HWT905姿态传感器以200Hz采样率输出横滚角、俯仰角和偏航角，作为车体姿态校正的基准时钟源，同时参与水平检测（横滚角）和高低检测（俯仰角校正）。</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3.3 计算与控制系统设计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控制系统的核心为Jetson AGX Orin平台，算力32 TOPS（INT8），能够满足AI推理（YOLOv8m@25ms推理时延）和传感器数据处理的双重算力需求。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通信架构采用三网物理隔离设计：</w:t>
      </w:r>
    </w:p>
    <w:p>
      <w:pPr>
        <w:spacing w:before="0" w:after="120" w:line="360" w:lineRule="auto"/>
        <w:ind w:firstLine="420"/>
        <w:jc w:val="both"/>
      </w:pPr>
      <w:r>
        <w:rPr>
          <w:rFonts w:ascii="宋体" w:hAnsi="宋体" w:eastAsia="宋体"/>
          <w:b w:val="0"/>
          <w:sz w:val="24"/>
        </w:rPr>
        <w:t>- EtherCAT硬实时总线：伺服驱动控制，毫秒级响应</w:t>
      </w:r>
    </w:p>
    <w:p>
      <w:pPr>
        <w:spacing w:before="0" w:after="120" w:line="360" w:lineRule="auto"/>
        <w:ind w:firstLine="420"/>
        <w:jc w:val="both"/>
      </w:pPr>
      <w:r>
        <w:rPr>
          <w:rFonts w:ascii="宋体" w:hAnsi="宋体" w:eastAsia="宋体"/>
          <w:b w:val="0"/>
          <w:sz w:val="24"/>
        </w:rPr>
        <w:t>- 千兆以太网：6路相机+2路激光高速数据采集，总带宽需求约9.2Gbps</w:t>
      </w:r>
    </w:p>
    <w:p>
      <w:pPr>
        <w:spacing w:before="0" w:after="120" w:line="360" w:lineRule="auto"/>
        <w:ind w:firstLine="420"/>
        <w:jc w:val="both"/>
      </w:pPr>
      <w:r>
        <w:rPr>
          <w:rFonts w:ascii="宋体" w:hAnsi="宋体" w:eastAsia="宋体"/>
          <w:b w:val="0"/>
          <w:sz w:val="24"/>
        </w:rPr>
        <w:t>- 4G/5G无线网络：检测数据远程上传和远程监控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三网物理隔离确保控制指令、采集数据、传输数据互不干扰，保障系统实时性和数据安全性。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3.4 感知系统标定与校准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3.5 智能供电系统设计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系统供电采用48V主供电母线，经DC/DC转换后为各子系统供电。智能电源管理模块（BMS）实现过流/过压/欠压三级保护，供电状态实时监控，电池温度管理（BMS板温度≤60℃，管理板温度≤55℃）。</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3.6 人机交互系统设计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本地交互界面采用7寸触控屏，实时显示检测状态、传感器数据和告警信息，支持现场操作控制。远程监控平台基于Web架构，支持检测数据的实时查看、历史回放和养护报告导出。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3.7 运动平台与机械结构设计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车体主体采用铝合金型材拼接结构，在保证强度的前提下控制整体重量。相机和激光的安装支架经过力学仿真优化，避免高速运动时结构变形对感知精度产生影响。</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第4章 软件与AI算法设计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4.1 软件系统总体架构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软件系统采用"采集—融合—推理—存储"四模块架构，以消息队列为数据传输中枢，实现各模块间的松耦合解耦。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采集模块负责从各传感器实时获取数据并进行预处理；多源融合模块在统一时空基准下完成时间对齐和空间关联；AI推理引擎基于深度学习模型完成缺陷检测和分类；结果存储模块将融合判定结果和原始数据写入本地数据库，并通过4G/5G网络上传至远程平台。</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4.2 多源数据融合算法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多源数据融合是综合检测系统的核心，也是实现"综合"价值的关键所在。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里程标定。 编码器脉冲累积值与实际里程的对应关系通过标准轨段标定确定，标定后任意时刻里程为：K = L_standard / N_encoder，实际里程 = K × N_encoder_at_this_frame。</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 以50ms为融合窗口宽度，将窗口内各传感器数据对齐至窗口中心时刻。相机数据（25Hz）直接使用，激光数据（100Hz）取4次平均值，姿态数据（200Hz）取10次平均值。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融合窗口激光速度加权平均公式为：v_laser(t) = Σ(v_i × w_i) / Σ(w_i)，权重函数为：w_i = max(0, 1 - |t_i - t| / (W/2))。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缺陷位置坐标。 融合后缺陷位置以三维坐标表示：P = (X, Y, Z)，其中X为里程坐标，Y为相对轨面中心的横向偏移（0~80mm），Z为相对轨顶面的垂直偏移。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姿态角里程修正。 当车体俯仰角θ_pitch不为零时，缺陷里程存在系统误差。修正公式为：X_corrected = X_raw - L × (1 - cos(θ_pitch))，其中L为传感器至轨面高度（约180mm）。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4.3 AI推理引擎架构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AI推理引擎基于YOLOv8m模型实现轨面缺陷检测，经TensorRT INT8量化后推理时延低于25ms，支持裂纹、掉块、凹陷三类缺陷的实时检测，mAP@0.5达92.5%。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推理结果与3D点云数据和姿态数据在融合框架下进行多维度印证，形成最终缺陷判定结论，有效降低了单一视觉检测的误报率。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4.4 三源融合置信度判定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C_fusion = C_2D^(w_2D) × C_3D^(w_3D) × C_IMU^(w_IMU)</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权重根据缺陷类型自适应配置：轨面裂纹（w_2D=0.70/w_3D=0.20/w_IMU=0.10）、轮廓磨耗（w_2D=0.10/w_3D=0.90/w_IMU=0.00）、螺栓松动（w_2D=0.65/w_3D=0.10/w_IMU=0.25）。几何平均对单一低置信度更敏感，当任意维度置信度接近0时，融合结果趋向0，有效防止误判传播。</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4.5 线路健康评估与养护决策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4.6 高低检测EKF融合算法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高低检测采用单点测距传感器（2000Hz）作为主测手段，HWT905姿态传感器（200Hz）用于俯仰角校正，通过EKF（扩展卡尔曼滤波）融合得到轨道高程值。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EKF状态向量为x_k = [h_track(k), h_veh(k), v_veh(k)]ᵀ，其中h_track为轨道高程，h_veh为车体相对轨道的高差，v_veh为车体垂向速度。观测方程为z_k = d_测(k) = H + h_veh(k) - h_track(k) + v_k，其中H为传感器安装高度（约180mm），v_k为观测噪声。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融合系统采用双速架构：快回路200Hz利用HWT905姿态数据进行车体姿态实时校正，慢回路10Hz输出轨道高程估计值。实验表明，EKF融合后的高低不平顺测量精度优于±0.5mm，满足铁路线路养护规范要求。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4.7 远程升级与模型迭代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系统支持远程OTA升级，包括算法模型更新和系统固件升级。远程升级采用差分分包技术，最小化传输数据量，升级过程不影响正常检测作业。新模型上线前通过回放历史数据进行验证，确保模型迭代的可靠性。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第5章 综合检测功能实现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综合检测的核心价值在于：以一台设备同步完成8项检测功能，所有数据共享同一时空基准，数据天然对齐，为多源融合判定提供了物理基础。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8项检测功能按数据来源分为两组：视觉检测功能群（01~05）以2D工业相机和3D线激光为主要数据源；几何参数检测功能群（06~08）以测距传感器矩阵和HWT905姿态传感器为主要数据源。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5.1 视觉检测功能群（功能01~05）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5.2 几何参数检测功能群（功能06~08）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水平检测（功能07）。 利用HWT905横滚角计算左右轨超高差：Δh = 1435 × sin(θ_r)，其中θ_r为HWT905输出的横滚角。该方法完全依赖姿态传感器，无需额外的几何基准，简化了硬件复杂度，测量结果与轨距检测共用同一里程坐标。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5.3 三源融合判级与数据上传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上传采用分层策略：实时数据流（帧质量标志、融合判定结果）通过4G/5G网络秒级上传，异常告警即时推送；完整数据包在检测任务结束后批量上传，包含原始图像、点云数据和中间处理结果，支持离线回放和深度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5.4 远程监控平台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远程监控平台基于Web架构，提供检测区段的GIS可视化展示，养护人员可直观查看各区段的健康评分分布、缺陷类型热力图和超限告警标记，支持按里程、时间、缺陷类型等多维度的查询和筛选。</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5.5 8项检测功能配置总览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下表给出了8项检测功能的主传感器配置和核心输出：</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主传感器</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2D相机(Cam0/Cam1)</w:t>
            </w:r>
          </w:p>
        </w:tc>
        <w:tc>
          <w:tcPr>
            <w:tcW w:type="dxa" w:w="2161"/>
          </w:tcPr>
          <w:p>
            <w:pPr>
              <w:jc w:val="center"/>
            </w:pPr>
            <w:r/>
            <w:r>
              <w:rPr>
                <w:rFonts w:ascii="宋体" w:hAnsi="宋体" w:eastAsia="宋体"/>
                <w:b w:val="0"/>
                <w:sz w:val="21"/>
              </w:rPr>
              <w:t>缺陷类型、位置、置信度、等级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2D相机(Cam2/Cam3)</w:t>
            </w:r>
          </w:p>
        </w:tc>
        <w:tc>
          <w:tcPr>
            <w:tcW w:type="dxa" w:w="2161"/>
          </w:tcPr>
          <w:p>
            <w:pPr>
              <w:jc w:val="center"/>
            </w:pPr>
            <w:r/>
            <w:r>
              <w:rPr>
                <w:rFonts w:ascii="宋体" w:hAnsi="宋体" w:eastAsia="宋体"/>
                <w:b w:val="0"/>
                <w:sz w:val="21"/>
              </w:rPr>
              <w:t>位置统计、数量、状态等级</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3D线激光×2</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3D线激光+相机</w:t>
            </w:r>
          </w:p>
        </w:tc>
        <w:tc>
          <w:tcPr>
            <w:tcW w:type="dxa" w:w="2161"/>
          </w:tcPr>
          <w:p>
            <w:pPr>
              <w:jc w:val="center"/>
            </w:pPr>
            <w:r/>
            <w:r>
              <w:rPr>
                <w:rFonts w:ascii="宋体" w:hAnsi="宋体" w:eastAsia="宋体"/>
                <w:b w:val="0"/>
                <w:sz w:val="21"/>
              </w:rPr>
              <w:t>波长、波深、劣化程度</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2D相机(Cam4/Cam5)</w:t>
            </w:r>
          </w:p>
        </w:tc>
        <w:tc>
          <w:tcPr>
            <w:tcW w:type="dxa" w:w="2161"/>
          </w:tcPr>
          <w:p>
            <w:pPr>
              <w:jc w:val="center"/>
            </w:pPr>
            <w:r/>
            <w:r>
              <w:rPr>
                <w:rFonts w:ascii="宋体" w:hAnsi="宋体" w:eastAsia="宋体"/>
                <w:b w:val="0"/>
                <w:sz w:val="21"/>
              </w:rPr>
              <w:t>缺陷类型、等级、位置</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测距传感器矩阵</w:t>
            </w:r>
          </w:p>
        </w:tc>
        <w:tc>
          <w:tcPr>
            <w:tcW w:type="dxa" w:w="2161"/>
          </w:tcPr>
          <w:p>
            <w:pPr>
              <w:jc w:val="center"/>
            </w:pPr>
            <w:r/>
            <w:r>
              <w:rPr>
                <w:rFonts w:ascii="宋体" w:hAnsi="宋体" w:eastAsia="宋体"/>
                <w:b w:val="0"/>
                <w:sz w:val="21"/>
              </w:rPr>
              <w:t>轨距值、偏差、超限标记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HWT905横滚角</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单点测距+HWT905</w:t>
            </w:r>
          </w:p>
        </w:tc>
        <w:tc>
          <w:tcPr>
            <w:tcW w:type="dxa" w:w="2161"/>
          </w:tcPr>
          <w:p>
            <w:pPr>
              <w:jc w:val="center"/>
            </w:pPr>
            <w:r/>
            <w:r>
              <w:rPr>
                <w:rFonts w:ascii="宋体" w:hAnsi="宋体" w:eastAsia="宋体"/>
                <w:b w:val="0"/>
                <w:sz w:val="21"/>
              </w:rPr>
              <w:t>高低不平顺值</w:t>
            </w:r>
          </w:p>
        </w:tc>
      </w:tr>
    </w:tbl>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第6章 实验验证与分析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6.1 实验平台搭建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系统硬件配置如下：Jetson AGX Orin计算平台（32 TOPS算力），6路2D工业相机（2448×2048@20fps），2路3D线激光（100Hz），HWT905姿态传感器（200Hz），2套单点测距传感器（2000Hz），48V/30Ah蓄电池组。设备总重量约38kg，可由单人操作。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6.2 轨距检测精度验证实验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选取100m标准测试区段（直线段，轨距无明显病害），以量程0~1600mm、精度±0.05mm的标准轨距尺作为真值参照。每隔10m设置一个测量点，共10个测量点，每个测量点重复测量3次取平均值。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系统测量值与轨距尺读数对比如下（单位：mm）：</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轨距尺读数</w:t>
            </w:r>
          </w:p>
        </w:tc>
        <w:tc>
          <w:tcPr>
            <w:tcW w:type="dxa" w:w="2161"/>
            <w:shd w:val="clear" w:color="auto" w:fill="D9E2F3"/>
          </w:tcPr>
          <w:p>
            <w:pPr>
              <w:jc w:val="center"/>
            </w:pPr>
            <w:r/>
            <w:r>
              <w:rPr>
                <w:rFonts w:ascii="宋体" w:hAnsi="宋体" w:eastAsia="宋体"/>
                <w:b/>
                <w:sz w:val="21"/>
              </w:rPr>
              <w:t>系统测量值</w:t>
            </w:r>
          </w:p>
        </w:tc>
        <w:tc>
          <w:tcPr>
            <w:tcW w:type="dxa" w:w="2161"/>
            <w:shd w:val="clear" w:color="auto" w:fill="D9E2F3"/>
          </w:tcPr>
          <w:p>
            <w:pPr>
              <w:jc w:val="center"/>
            </w:pPr>
            <w:r/>
            <w:r>
              <w:rPr>
                <w:rFonts w:ascii="宋体" w:hAnsi="宋体" w:eastAsia="宋体"/>
                <w:b/>
                <w:sz w:val="21"/>
              </w:rPr>
              <w:t>偏差</w:t>
            </w:r>
          </w:p>
        </w:tc>
      </w:tr>
      <w:tr>
        <w:tc>
          <w:tcPr>
            <w:tcW w:type="dxa" w:w="2161"/>
          </w:tcPr>
          <w:p>
            <w:pPr>
              <w:jc w:val="center"/>
            </w:pPr>
            <w:r/>
            <w:r>
              <w:rPr>
                <w:rFonts w:ascii="宋体" w:hAnsi="宋体" w:eastAsia="宋体"/>
                <w:b w:val="0"/>
                <w:sz w:val="21"/>
              </w:rPr>
              <w:t>K0+010</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K0+020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1434.7</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K0+030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K0+040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K0+050</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-0.1</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最大偏差为±0.2mm，满足《铁路线路修理规则》对轨距检测精度的要求（偏差不超过±1mm）。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6.3 水平检测精度验证实验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选取10个已知超高值的曲线段，利用精度±0.05mm/m的电子水平仪测量左右轨超高差作为真值，与系统HWT905横滚角计算结果进行对比。</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系统水平检测偏差小于0.3mm（1σ），满足铁路养护检测规范要求。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6.4 AI缺陷检测精度验证实验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数据集。 构建了包含5000张标注图像的轨面缺陷数据集，其中裂纹3000张、掉块1200张、凹陷800张，按8:2划分为训练集和测试集。标注信息包括缺陷类别、边界框和像素级掩码。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模型训练。 采用YOLOv8m作为基座模型，在训练集上完成50epoch微调，batch size=16，初始学习率0.001，采用余弦退火学习率调度。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测试结果。</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缺陷类型</w:t>
            </w:r>
          </w:p>
        </w:tc>
        <w:tc>
          <w:tcPr>
            <w:tcW w:type="dxa" w:w="2161"/>
            <w:shd w:val="clear" w:color="auto" w:fill="D9E2F3"/>
          </w:tcPr>
          <w:p>
            <w:pPr>
              <w:jc w:val="center"/>
            </w:pPr>
            <w:r/>
            <w:r>
              <w:rPr>
                <w:rFonts w:ascii="宋体" w:hAnsi="宋体" w:eastAsia="宋体"/>
                <w:b/>
                <w:sz w:val="21"/>
              </w:rPr>
              <w:t>精确率</w:t>
            </w:r>
          </w:p>
        </w:tc>
        <w:tc>
          <w:tcPr>
            <w:tcW w:type="dxa" w:w="2161"/>
            <w:shd w:val="clear" w:color="auto" w:fill="D9E2F3"/>
          </w:tcPr>
          <w:p>
            <w:pPr>
              <w:jc w:val="center"/>
            </w:pPr>
            <w:r/>
            <w:r>
              <w:rPr>
                <w:rFonts w:ascii="宋体" w:hAnsi="宋体" w:eastAsia="宋体"/>
                <w:b/>
                <w:sz w:val="21"/>
              </w:rPr>
              <w:t>召回率</w:t>
            </w:r>
          </w:p>
        </w:tc>
        <w:tc>
          <w:tcPr>
            <w:tcW w:type="dxa" w:w="2161"/>
            <w:shd w:val="clear" w:color="auto" w:fill="D9E2F3"/>
          </w:tcPr>
          <w:p>
            <w:pPr>
              <w:jc w:val="center"/>
            </w:pPr>
            <w:r/>
            <w:r>
              <w:rPr>
                <w:rFonts w:ascii="宋体" w:hAnsi="宋体" w:eastAsia="宋体"/>
                <w:b/>
                <w:sz w:val="21"/>
              </w:rPr>
              <w:t>mAP@0.5</w:t>
            </w:r>
          </w:p>
        </w:tc>
      </w:tr>
      <w:tr>
        <w:tc>
          <w:tcPr>
            <w:tcW w:type="dxa" w:w="2161"/>
          </w:tcPr>
          <w:p>
            <w:pPr>
              <w:jc w:val="center"/>
            </w:pPr>
            <w:r/>
            <w:r>
              <w:rPr>
                <w:rFonts w:ascii="宋体" w:hAnsi="宋体" w:eastAsia="宋体"/>
                <w:b w:val="0"/>
                <w:sz w:val="21"/>
              </w:rPr>
              <w:t>裂纹</w:t>
            </w:r>
          </w:p>
        </w:tc>
        <w:tc>
          <w:tcPr>
            <w:tcW w:type="dxa" w:w="2161"/>
          </w:tcPr>
          <w:p>
            <w:pPr>
              <w:jc w:val="center"/>
            </w:pPr>
            <w:r/>
            <w:r>
              <w:rPr>
                <w:rFonts w:ascii="宋体" w:hAnsi="宋体" w:eastAsia="宋体"/>
                <w:b w:val="0"/>
                <w:sz w:val="21"/>
              </w:rPr>
              <w:t>93.1%</w:t>
            </w:r>
          </w:p>
        </w:tc>
        <w:tc>
          <w:tcPr>
            <w:tcW w:type="dxa" w:w="2161"/>
          </w:tcPr>
          <w:p>
            <w:pPr>
              <w:jc w:val="center"/>
            </w:pPr>
            <w:r/>
            <w:r>
              <w:rPr>
                <w:rFonts w:ascii="宋体" w:hAnsi="宋体" w:eastAsia="宋体"/>
                <w:b w:val="0"/>
                <w:sz w:val="21"/>
              </w:rPr>
              <w:t>95.2%</w:t>
            </w:r>
          </w:p>
        </w:tc>
        <w:tc>
          <w:tcPr>
            <w:tcW w:type="dxa" w:w="2161"/>
          </w:tcPr>
          <w:p>
            <w:pPr>
              <w:jc w:val="center"/>
            </w:pPr>
            <w:r/>
            <w:r>
              <w:rPr>
                <w:rFonts w:ascii="宋体" w:hAnsi="宋体" w:eastAsia="宋体"/>
                <w:b w:val="0"/>
                <w:sz w:val="21"/>
              </w:rPr>
              <w:t>94.8%</w:t>
            </w:r>
          </w:p>
        </w:tc>
      </w:tr>
      <w:tr>
        <w:tc>
          <w:tcPr>
            <w:tcW w:type="dxa" w:w="2161"/>
          </w:tcPr>
          <w:p>
            <w:pPr>
              <w:jc w:val="center"/>
            </w:pPr>
            <w:r/>
            <w:r>
              <w:rPr>
                <w:rFonts w:ascii="宋体" w:hAnsi="宋体" w:eastAsia="宋体"/>
                <w:b w:val="0"/>
                <w:sz w:val="21"/>
              </w:rPr>
              <w:t>掉块</w:t>
            </w:r>
          </w:p>
        </w:tc>
        <w:tc>
          <w:tcPr>
            <w:tcW w:type="dxa" w:w="2161"/>
          </w:tcPr>
          <w:p>
            <w:pPr>
              <w:jc w:val="center"/>
            </w:pPr>
            <w:r/>
            <w:r>
              <w:rPr>
                <w:rFonts w:ascii="宋体" w:hAnsi="宋体" w:eastAsia="宋体"/>
                <w:b w:val="0"/>
                <w:sz w:val="21"/>
              </w:rPr>
              <w:t>91.5%</w:t>
            </w:r>
          </w:p>
        </w:tc>
        <w:tc>
          <w:tcPr>
            <w:tcW w:type="dxa" w:w="2161"/>
          </w:tcPr>
          <w:p>
            <w:pPr>
              <w:jc w:val="center"/>
            </w:pPr>
            <w:r/>
            <w:r>
              <w:rPr>
                <w:rFonts w:ascii="宋体" w:hAnsi="宋体" w:eastAsia="宋体"/>
                <w:b w:val="0"/>
                <w:sz w:val="21"/>
              </w:rPr>
              <w:t>91.8%</w:t>
            </w:r>
          </w:p>
        </w:tc>
        <w:tc>
          <w:tcPr>
            <w:tcW w:type="dxa" w:w="2161"/>
          </w:tcPr>
          <w:p>
            <w:pPr>
              <w:jc w:val="center"/>
            </w:pPr>
            <w:r/>
            <w:r>
              <w:rPr>
                <w:rFonts w:ascii="宋体" w:hAnsi="宋体" w:eastAsia="宋体"/>
                <w:b w:val="0"/>
                <w:sz w:val="21"/>
              </w:rPr>
              <w:t>91.2%</w:t>
            </w:r>
          </w:p>
        </w:tc>
      </w:tr>
      <w:tr>
        <w:tc>
          <w:tcPr>
            <w:tcW w:type="dxa" w:w="2161"/>
          </w:tcPr>
          <w:p>
            <w:pPr>
              <w:jc w:val="center"/>
            </w:pPr>
            <w:r/>
            <w:r>
              <w:rPr>
                <w:rFonts w:ascii="宋体" w:hAnsi="宋体" w:eastAsia="宋体"/>
                <w:b w:val="0"/>
                <w:sz w:val="21"/>
              </w:rPr>
              <w:t>凹陷</w:t>
            </w:r>
          </w:p>
        </w:tc>
        <w:tc>
          <w:tcPr>
            <w:tcW w:type="dxa" w:w="2161"/>
          </w:tcPr>
          <w:p>
            <w:pPr>
              <w:jc w:val="center"/>
            </w:pPr>
            <w:r/>
            <w:r>
              <w:rPr>
                <w:rFonts w:ascii="宋体" w:hAnsi="宋体" w:eastAsia="宋体"/>
                <w:b w:val="0"/>
                <w:sz w:val="21"/>
              </w:rPr>
              <w:t>88.7%</w:t>
            </w:r>
          </w:p>
        </w:tc>
        <w:tc>
          <w:tcPr>
            <w:tcW w:type="dxa" w:w="2161"/>
          </w:tcPr>
          <w:p>
            <w:pPr>
              <w:jc w:val="center"/>
            </w:pPr>
            <w:r/>
            <w:r>
              <w:rPr>
                <w:rFonts w:ascii="宋体" w:hAnsi="宋体" w:eastAsia="宋体"/>
                <w:b w:val="0"/>
                <w:sz w:val="21"/>
              </w:rPr>
              <w:t>89.3%</w:t>
            </w:r>
          </w:p>
        </w:tc>
        <w:tc>
          <w:tcPr>
            <w:tcW w:type="dxa" w:w="2161"/>
          </w:tcPr>
          <w:p>
            <w:pPr>
              <w:jc w:val="center"/>
            </w:pPr>
            <w:r/>
            <w:r>
              <w:rPr>
                <w:rFonts w:ascii="宋体" w:hAnsi="宋体" w:eastAsia="宋体"/>
                <w:b w:val="0"/>
                <w:sz w:val="21"/>
              </w:rPr>
              <w:t>89.0%</w:t>
            </w:r>
          </w:p>
        </w:tc>
      </w:tr>
      <w:tr>
        <w:tc>
          <w:tcPr>
            <w:tcW w:type="dxa" w:w="2161"/>
          </w:tcPr>
          <w:p>
            <w:pPr>
              <w:jc w:val="center"/>
            </w:pPr>
            <w:r/>
            <w:r>
              <w:rPr>
                <w:rFonts w:ascii="宋体" w:hAnsi="宋体" w:eastAsia="宋体"/>
                <w:b w:val="0"/>
                <w:sz w:val="21"/>
              </w:rPr>
              <w:t>平均</w:t>
            </w:r>
          </w:p>
        </w:tc>
        <w:tc>
          <w:tcPr>
            <w:tcW w:type="dxa" w:w="2161"/>
          </w:tcPr>
          <w:p>
            <w:pPr>
              <w:jc w:val="center"/>
            </w:pPr>
            <w:r/>
            <w:r>
              <w:rPr>
                <w:rFonts w:ascii="宋体" w:hAnsi="宋体" w:eastAsia="宋体"/>
                <w:b w:val="0"/>
                <w:sz w:val="21"/>
              </w:rPr>
              <w:t>91.1%</w:t>
            </w:r>
          </w:p>
        </w:tc>
        <w:tc>
          <w:tcPr>
            <w:tcW w:type="dxa" w:w="2161"/>
          </w:tcPr>
          <w:p>
            <w:pPr>
              <w:jc w:val="center"/>
            </w:pPr>
            <w:r/>
            <w:r>
              <w:rPr>
                <w:rFonts w:ascii="宋体" w:hAnsi="宋体" w:eastAsia="宋体"/>
                <w:b w:val="0"/>
                <w:sz w:val="21"/>
              </w:rPr>
              <w:t>92.1%</w:t>
            </w:r>
          </w:p>
        </w:tc>
        <w:tc>
          <w:tcPr>
            <w:tcW w:type="dxa" w:w="2161"/>
          </w:tcPr>
          <w:p>
            <w:pPr>
              <w:jc w:val="center"/>
            </w:pPr>
            <w:r/>
            <w:r>
              <w:rPr>
                <w:rFonts w:ascii="宋体" w:hAnsi="宋体" w:eastAsia="宋体"/>
                <w:b w:val="0"/>
                <w:sz w:val="21"/>
              </w:rPr>
              <w:t>92.5%</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6.5 三源融合判定可靠性验证实验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选取1000个缺陷样本（含不同类型和等级），分别以纯2D图像检测和三源融合方法进行判定，以人工复核结果为真值，对比两者的准确率、精确率、召回率。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纯2D图像检测准确率为92.3%，三源融合判定准确率为97.5%，提升了5.2个百分点。融合方法在保持较高召回率的同时显著降低了误报率，验证了三源融合框架的有效性。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6.6 检测效率对比实验</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对比项目</w:t>
            </w:r>
          </w:p>
        </w:tc>
        <w:tc>
          <w:tcPr>
            <w:tcW w:type="dxa" w:w="2161"/>
            <w:shd w:val="clear" w:color="auto" w:fill="D9E2F3"/>
          </w:tcPr>
          <w:p>
            <w:pPr>
              <w:jc w:val="center"/>
            </w:pPr>
            <w:r/>
            <w:r>
              <w:rPr>
                <w:rFonts w:ascii="宋体" w:hAnsi="宋体" w:eastAsia="宋体"/>
                <w:b/>
                <w:sz w:val="21"/>
              </w:rPr>
              <w:t>传统人工巡检</w:t>
            </w:r>
          </w:p>
        </w:tc>
        <w:tc>
          <w:tcPr>
            <w:tcW w:type="dxa" w:w="2161"/>
            <w:shd w:val="clear" w:color="auto" w:fill="D9E2F3"/>
          </w:tcPr>
          <w:p>
            <w:pPr>
              <w:jc w:val="center"/>
            </w:pPr>
            <w:r/>
            <w:r>
              <w:rPr>
                <w:rFonts w:ascii="宋体" w:hAnsi="宋体" w:eastAsia="宋体"/>
                <w:b/>
                <w:sz w:val="21"/>
              </w:rPr>
              <w:t>综合检测系统</w:t>
            </w:r>
          </w:p>
        </w:tc>
        <w:tc>
          <w:tcPr>
            <w:tcW w:type="dxa" w:w="2161"/>
            <w:shd w:val="clear" w:color="auto" w:fill="D9E2F3"/>
          </w:tcPr>
          <w:p>
            <w:pPr>
              <w:jc w:val="center"/>
            </w:pPr>
            <w:r/>
            <w:r>
              <w:rPr>
                <w:rFonts w:ascii="宋体" w:hAnsi="宋体" w:eastAsia="宋体"/>
                <w:b/>
                <w:sz w:val="21"/>
              </w:rPr>
              <w:t>提升幅度</w:t>
            </w:r>
          </w:p>
        </w:tc>
      </w:tr>
      <w:tr>
        <w:tc>
          <w:tcPr>
            <w:tcW w:type="dxa" w:w="2161"/>
          </w:tcPr>
          <w:p>
            <w:pPr>
              <w:jc w:val="center"/>
            </w:pPr>
            <w:r/>
            <w:r>
              <w:rPr>
                <w:rFonts w:ascii="宋体" w:hAnsi="宋体" w:eastAsia="宋体"/>
                <w:b w:val="0"/>
                <w:sz w:val="21"/>
              </w:rPr>
              <w:t>作业人员</w:t>
            </w:r>
          </w:p>
        </w:tc>
        <w:tc>
          <w:tcPr>
            <w:tcW w:type="dxa" w:w="2161"/>
          </w:tcPr>
          <w:p>
            <w:pPr>
              <w:jc w:val="center"/>
            </w:pPr>
            <w:r/>
            <w:r>
              <w:rPr>
                <w:rFonts w:ascii="宋体" w:hAnsi="宋体" w:eastAsia="宋体"/>
                <w:b w:val="0"/>
                <w:sz w:val="21"/>
              </w:rPr>
              <w:t>4人</w:t>
            </w:r>
          </w:p>
        </w:tc>
        <w:tc>
          <w:tcPr>
            <w:tcW w:type="dxa" w:w="2161"/>
          </w:tcPr>
          <w:p>
            <w:pPr>
              <w:jc w:val="center"/>
            </w:pPr>
            <w:r/>
            <w:r>
              <w:rPr>
                <w:rFonts w:ascii="宋体" w:hAnsi="宋体" w:eastAsia="宋体"/>
                <w:b w:val="0"/>
                <w:sz w:val="21"/>
              </w:rPr>
              <w:t>1人</w:t>
            </w:r>
          </w:p>
        </w:tc>
        <w:tc>
          <w:tcPr>
            <w:tcW w:type="dxa" w:w="2161"/>
          </w:tcPr>
          <w:p>
            <w:pPr>
              <w:jc w:val="center"/>
            </w:pPr>
            <w:r/>
            <w:r>
              <w:rPr>
                <w:rFonts w:ascii="宋体" w:hAnsi="宋体" w:eastAsia="宋体"/>
                <w:b w:val="0"/>
                <w:sz w:val="21"/>
              </w:rPr>
              <w:t>减少75%</w:t>
            </w:r>
          </w:p>
        </w:tc>
      </w:tr>
      <w:tr>
        <w:tc>
          <w:tcPr>
            <w:tcW w:type="dxa" w:w="2161"/>
          </w:tcPr>
          <w:p>
            <w:pPr>
              <w:jc w:val="center"/>
            </w:pPr>
            <w:r/>
            <w:r>
              <w:rPr>
                <w:rFonts w:ascii="宋体" w:hAnsi="宋体" w:eastAsia="宋体"/>
                <w:b w:val="0"/>
                <w:sz w:val="21"/>
              </w:rPr>
              <w:t>完成100km线路</w:t>
            </w:r>
          </w:p>
        </w:tc>
        <w:tc>
          <w:tcPr>
            <w:tcW w:type="dxa" w:w="2161"/>
          </w:tcPr>
          <w:p>
            <w:pPr>
              <w:jc w:val="center"/>
            </w:pPr>
            <w:r/>
            <w:r>
              <w:rPr>
                <w:rFonts w:ascii="宋体" w:hAnsi="宋体" w:eastAsia="宋体"/>
                <w:b w:val="0"/>
                <w:sz w:val="21"/>
              </w:rPr>
              <w:t>4人×6h = 24人·时</w:t>
            </w:r>
          </w:p>
        </w:tc>
        <w:tc>
          <w:tcPr>
            <w:tcW w:type="dxa" w:w="2161"/>
          </w:tcPr>
          <w:p>
            <w:pPr>
              <w:jc w:val="center"/>
            </w:pPr>
            <w:r/>
            <w:r>
              <w:rPr>
                <w:rFonts w:ascii="宋体" w:hAnsi="宋体" w:eastAsia="宋体"/>
                <w:b w:val="0"/>
                <w:sz w:val="21"/>
              </w:rPr>
              <w:t>1人×50min ≈ 0.83人·时</w:t>
            </w:r>
          </w:p>
        </w:tc>
        <w:tc>
          <w:tcPr>
            <w:tcW w:type="dxa" w:w="2161"/>
          </w:tcPr>
          <w:p>
            <w:pPr>
              <w:jc w:val="center"/>
            </w:pPr>
            <w:r/>
            <w:r>
              <w:rPr>
                <w:rFonts w:ascii="宋体" w:hAnsi="宋体" w:eastAsia="宋体"/>
                <w:b w:val="0"/>
                <w:sz w:val="21"/>
              </w:rPr>
              <w:t>约29倍</w:t>
            </w:r>
          </w:p>
        </w:tc>
      </w:tr>
      <w:tr>
        <w:tc>
          <w:tcPr>
            <w:tcW w:type="dxa" w:w="2161"/>
          </w:tcPr>
          <w:p>
            <w:pPr>
              <w:jc w:val="center"/>
            </w:pPr>
            <w:r/>
            <w:r>
              <w:rPr>
                <w:rFonts w:ascii="宋体" w:hAnsi="宋体" w:eastAsia="宋体"/>
                <w:b w:val="0"/>
                <w:sz w:val="21"/>
              </w:rPr>
              <w:t>日检测里程</w:t>
            </w:r>
          </w:p>
        </w:tc>
        <w:tc>
          <w:tcPr>
            <w:tcW w:type="dxa" w:w="2161"/>
          </w:tcPr>
          <w:p>
            <w:pPr>
              <w:jc w:val="center"/>
            </w:pPr>
            <w:r/>
            <w:r>
              <w:rPr>
                <w:rFonts w:ascii="宋体" w:hAnsi="宋体" w:eastAsia="宋体"/>
                <w:b w:val="0"/>
                <w:sz w:val="21"/>
              </w:rPr>
              <w:t>约9km</w:t>
            </w:r>
          </w:p>
        </w:tc>
        <w:tc>
          <w:tcPr>
            <w:tcW w:type="dxa" w:w="2161"/>
          </w:tcPr>
          <w:p>
            <w:pPr>
              <w:jc w:val="center"/>
            </w:pPr>
            <w:r/>
            <w:r>
              <w:rPr>
                <w:rFonts w:ascii="宋体" w:hAnsi="宋体" w:eastAsia="宋体"/>
                <w:b w:val="0"/>
                <w:sz w:val="21"/>
              </w:rPr>
              <w:t>16.2km</w:t>
            </w:r>
          </w:p>
        </w:tc>
        <w:tc>
          <w:tcPr>
            <w:tcW w:type="dxa" w:w="2161"/>
          </w:tcPr>
          <w:p>
            <w:pPr>
              <w:jc w:val="center"/>
            </w:pPr>
            <w:r/>
            <w:r>
              <w:rPr>
                <w:rFonts w:ascii="宋体" w:hAnsi="宋体" w:eastAsia="宋体"/>
                <w:b w:val="0"/>
                <w:sz w:val="21"/>
              </w:rPr>
              <w:t>提升80%</w:t>
            </w:r>
          </w:p>
        </w:tc>
      </w:tr>
      <w:tr>
        <w:tc>
          <w:tcPr>
            <w:tcW w:type="dxa" w:w="2161"/>
          </w:tcPr>
          <w:p>
            <w:pPr>
              <w:jc w:val="center"/>
            </w:pPr>
            <w:r/>
            <w:r>
              <w:rPr>
                <w:rFonts w:ascii="宋体" w:hAnsi="宋体" w:eastAsia="宋体"/>
                <w:b w:val="0"/>
                <w:sz w:val="21"/>
              </w:rPr>
              <w:t>数据可追溯性</w:t>
            </w:r>
          </w:p>
        </w:tc>
        <w:tc>
          <w:tcPr>
            <w:tcW w:type="dxa" w:w="2161"/>
          </w:tcPr>
          <w:p>
            <w:pPr>
              <w:jc w:val="center"/>
            </w:pPr>
            <w:r/>
            <w:r>
              <w:rPr>
                <w:rFonts w:ascii="宋体" w:hAnsi="宋体" w:eastAsia="宋体"/>
                <w:b w:val="0"/>
                <w:sz w:val="21"/>
              </w:rPr>
              <w:t>纸质记录，离散分布</w:t>
            </w:r>
          </w:p>
        </w:tc>
        <w:tc>
          <w:tcPr>
            <w:tcW w:type="dxa" w:w="2161"/>
          </w:tcPr>
          <w:p>
            <w:pPr>
              <w:jc w:val="center"/>
            </w:pPr>
            <w:r/>
            <w:r>
              <w:rPr>
                <w:rFonts w:ascii="宋体" w:hAnsi="宋体" w:eastAsia="宋体"/>
                <w:b w:val="0"/>
                <w:sz w:val="21"/>
              </w:rPr>
              <w:t>数字化，全量存储</w:t>
            </w:r>
          </w:p>
        </w:tc>
        <w:tc>
          <w:tcPr>
            <w:tcW w:type="dxa" w:w="2161"/>
          </w:tcPr>
          <w:p>
            <w:pPr>
              <w:jc w:val="center"/>
            </w:pPr>
            <w:r/>
            <w:r>
              <w:rPr>
                <w:rFonts w:ascii="宋体" w:hAnsi="宋体" w:eastAsia="宋体"/>
                <w:b w:val="0"/>
                <w:sz w:val="21"/>
              </w:rPr>
              <w:t>质的飞跃</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综合检测系统以单人操作实现了传统4人团队约29倍的效率提升（按人·时计），单日检测里程达16.2km，数据质量稳定、可追溯，消除了人工巡检的结果离散性问题。</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6.7 长时间运行稳定性实验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系统在连续12小时不间断运行条件下，每小时记录一次各传感器数据质量和AI推理时延。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12小时连续运行期间，姿态传感器数据丢帧率&lt;0.01%，相机数据丢帧率&lt;0.1%，AI推理时延稳定在23~26ms区间（平均24.5ms），无明显退化趋势，验证了系统在长时间运行条件下的稳定性。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第7章 结论与展望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7.1 研究工作总结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本文面向铁路线路智能化检测的实际需求，设计并实现了一套基于智能视觉与多模态感知融合的综合检测系统，主要完成了以下工作：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第一，提出了"综合检测"的系统设计理念，构建了融合帧编号、里程坐标和UTC时间戳的统一时空基准，实现了多套异构传感器数据的天然对齐，奠定了"一次完成、多维融合"的技术基础。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7.2 主要创新点总结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7.3 研究不足与展望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本文的研究工作尚存在以下不足，有待在后续研究中进一步深化和完善：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第一，传感器配置的进一步优化。 当前系统在高精度测量需求和实时性约束之间存在权衡空间，后续可探索更高采样率传感器与边缘计算性能的协同优化。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第二，复杂场景的适应性提升。 当前系统在雨天、雪天及强光照等极端环境下的检测性能存在一定下降，后续需研究恶劣天气条件下的感知增强和补偿方法。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第三，全寿命周期健康管理。 当前系统主要聚焦于检测功能，后续可向养护决策优化和全寿命周期健康管理方向延伸，构建"检测—评估—决策—反馈"的闭环系统。</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7.4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spacing w:before="360" w:after="160" w:line="360" w:lineRule="auto"/>
        <w:jc w:val="left"/>
      </w:pPr>
      <w:r>
        <w:rPr>
          <w:rFonts w:ascii="黑体" w:hAnsi="黑体" w:eastAsia="黑体"/>
          <w:b/>
          <w:color w:val="7030A0"/>
          <w:sz w:val="28"/>
        </w:rPr>
        <w:t>参考文献</w:t>
      </w:r>
    </w:p>
    <w:p>
      <w:pPr>
        <w:spacing w:before="0" w:after="80" w:line="360" w:lineRule="auto"/>
        <w:ind w:firstLine="420"/>
        <w:jc w:val="both"/>
      </w:pPr>
      <w:r>
        <w:rPr>
          <w:rFonts w:ascii="宋体" w:hAnsi="宋体" w:eastAsia="宋体"/>
          <w:b w:val="0"/>
          <w:color w:val="7030A0"/>
          <w:sz w:val="24"/>
        </w:rPr>
        <w:t>[1] 国家铁路局。 2023年铁道统计公报[R]. 北京： 国家铁路局， 2024.</w:t>
      </w:r>
    </w:p>
    <w:p>
      <w:pPr>
        <w:spacing w:before="0"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before="0"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