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面向铁路线路的智能视觉与多模态感知融合综合检测系统研究与实现"/>
    <w:p>
      <w:pPr>
        <w:pStyle w:val="Heading1"/>
      </w:pPr>
      <w:r>
        <w:t xml:space="preserve">面向铁路线路的智能视觉与多模态感知融合综合检测系统研究与实现</w:t>
      </w:r>
    </w:p>
    <w:p>
      <w:pPr>
        <w:pStyle w:val="FirstParagraph"/>
      </w:pPr>
      <w:r>
        <w:t xml:space="preserve">张三¹ 李四¹ 王五¹ 赵六¹ 钱七¹ 孙八² 周九² 吴十² 郑甲² 冯乙²</w:t>
      </w:r>
    </w:p>
    <w:p>
      <w:pPr>
        <w:numPr>
          <w:ilvl w:val="0"/>
          <w:numId w:val="1001"/>
        </w:numPr>
        <w:pStyle w:val="Compact"/>
      </w:pPr>
      <w:r>
        <w:t xml:space="preserve">济南铁路局科研所，山东 济南 250000</w:t>
      </w:r>
    </w:p>
    <w:p>
      <w:pPr>
        <w:numPr>
          <w:ilvl w:val="0"/>
          <w:numId w:val="1001"/>
        </w:numPr>
        <w:pStyle w:val="Compact"/>
      </w:pPr>
      <w:r>
        <w:t xml:space="preserve">济南华升信息科技有限公司，山东 济南 250000</w:t>
      </w:r>
    </w:p>
    <w:bookmarkStart w:id="20" w:name="摘-要"/>
    <w:p>
      <w:pPr>
        <w:pStyle w:val="Heading2"/>
      </w:pPr>
      <w:r>
        <w:t xml:space="preserve">摘 要</w:t>
      </w:r>
    </w:p>
    <w:p>
      <w:pPr>
        <w:pStyle w:val="FirstParagraph"/>
      </w:pPr>
      <w: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pStyle w:val="BodyText"/>
      </w:pPr>
      <w: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pStyle w:val="BodyText"/>
      </w:pPr>
      <w:r>
        <w:rPr>
          <w:bCs/>
          <w:b/>
        </w:rPr>
        <w:t xml:space="preserve">关键词：</w:t>
      </w:r>
      <w:r>
        <w:t xml:space="preserve"> </w:t>
      </w:r>
      <w:r>
        <w:t xml:space="preserve">铁路线路检测；多传感器融合；智能视觉；深度学习；边缘计算</w:t>
      </w:r>
    </w:p>
    <w:bookmarkEnd w:id="20"/>
    <w:bookmarkStart w:id="21" w:name="abstract"/>
    <w:p>
      <w:pPr>
        <w:pStyle w:val="Heading2"/>
      </w:pPr>
      <w:r>
        <w:t xml:space="preserve">Abstract</w:t>
      </w:r>
    </w:p>
    <w:p>
      <w:pPr>
        <w:pStyle w:val="FirstParagraph"/>
      </w:pPr>
      <w:r>
        <w:t xml:space="preserve">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pStyle w:val="BodyText"/>
      </w:pPr>
      <w:r>
        <w:t xml:space="preserve">The main contributions of this paper include: (1) Proposing the</w:t>
      </w:r>
      <w:r>
        <w:t xml:space="preserve"> </w:t>
      </w:r>
      <w:r>
        <w:t xml:space="preserve">“</w:t>
      </w:r>
      <w:r>
        <w:t xml:space="preserve">comprehensive inspection</w:t>
      </w:r>
      <w:r>
        <w:t xml:space="preserve">”</w:t>
      </w:r>
      <w:r>
        <w:t xml:space="preserve"> </w:t>
      </w:r>
      <w:r>
        <w:t xml:space="preserve">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w:t>
      </w:r>
      <w:r>
        <w:t xml:space="preserve"> </w:t>
      </w:r>
      <w:r>
        <w:t xml:space="preserve">“</w:t>
      </w:r>
      <w:r>
        <w:t xml:space="preserve">temporal alignment → spatial association → decision fusion</w:t>
      </w:r>
      <w:r>
        <w:t xml:space="preserve">”</w:t>
      </w:r>
      <w:r>
        <w:t xml:space="preserve"> </w:t>
      </w:r>
      <w:r>
        <w:t xml:space="preserve">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pStyle w:val="BodyText"/>
      </w:pPr>
      <w:r>
        <w:rPr>
          <w:bCs/>
          <w:b/>
        </w:rPr>
        <w:t xml:space="preserve">Keywords:</w:t>
      </w:r>
      <w:r>
        <w:t xml:space="preserve"> </w:t>
      </w:r>
      <w:r>
        <w:t xml:space="preserve">Railway Track Inspection; Multi-sensor Fusion; Intelligent Vision; Deep Learning; Edge Computing</w:t>
      </w:r>
    </w:p>
    <w:p>
      <w:r>
        <w:pict>
          <v:rect style="width:0;height:1.5pt" o:hralign="center" o:hrstd="t" o:hr="t"/>
        </w:pict>
      </w:r>
    </w:p>
    <w:bookmarkEnd w:id="21"/>
    <w:bookmarkEnd w:id="22"/>
    <w:bookmarkStart w:id="69" w:name="面向铁路线路的智能视觉与多模态感知融合综合检测系统研究与实现-1"/>
    <w:p>
      <w:pPr>
        <w:pStyle w:val="Heading1"/>
      </w:pPr>
      <w:r>
        <w:t xml:space="preserve">面向铁路线路的智能视觉与多模态感知融合综合检测系统研究与实现</w:t>
      </w:r>
    </w:p>
    <w:bookmarkStart w:id="27" w:name="第1章-绪论"/>
    <w:p>
      <w:pPr>
        <w:pStyle w:val="Heading2"/>
      </w:pPr>
      <w:r>
        <w:t xml:space="preserve">第1章 绪论</w:t>
      </w:r>
    </w:p>
    <w:bookmarkStart w:id="23"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3"/>
    <w:bookmarkStart w:id="24"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4"/>
    <w:bookmarkStart w:id="25"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5"/>
    <w:bookmarkStart w:id="26"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6"/>
    <w:bookmarkEnd w:id="27"/>
    <w:bookmarkStart w:id="33" w:name="第2章-系统总体设计"/>
    <w:p>
      <w:pPr>
        <w:pStyle w:val="Heading2"/>
      </w:pPr>
      <w:r>
        <w:t xml:space="preserve">第2章 系统总体设计</w:t>
      </w:r>
    </w:p>
    <w:bookmarkStart w:id="28"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8"/>
    <w:bookmarkStart w:id="29"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9"/>
    <w:bookmarkStart w:id="30"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30"/>
    <w:bookmarkStart w:id="31"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31"/>
    <w:bookmarkStart w:id="32"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2"/>
    <w:bookmarkEnd w:id="33"/>
    <w:bookmarkStart w:id="41" w:name="第3章-硬件系统设计"/>
    <w:p>
      <w:pPr>
        <w:pStyle w:val="Heading2"/>
      </w:pPr>
      <w:r>
        <w:t xml:space="preserve">第3章 硬件系统设计</w:t>
      </w:r>
    </w:p>
    <w:bookmarkStart w:id="34"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4"/>
    <w:bookmarkStart w:id="35"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5"/>
    <w:bookmarkStart w:id="36"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6"/>
    <w:bookmarkStart w:id="37"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7"/>
    <w:bookmarkStart w:id="38"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8"/>
    <w:bookmarkStart w:id="39"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综合检测系统面向铁路现场复杂作业环境，设计了四种操控方式：物理按键、触摸屏、无线遥控和语音操控，以适应不同作业场景和操作人员的习惯。</w:t>
      </w:r>
    </w:p>
    <w:p>
      <w:pPr>
        <w:pStyle w:val="BodyText"/>
      </w:pPr>
      <w:r>
        <w:rPr>
          <w:bCs/>
          <w:b/>
        </w:rPr>
        <w:t xml:space="preserve">（1）物理按键操控。</w:t>
      </w:r>
      <w:r>
        <w:t xml:space="preserve"> </w:t>
      </w:r>
      <w:r>
        <w:t xml:space="preserve">车体两侧配备防水金属按键面板，包含电源开/关、检测启/停、速度切换、紧急制动四个核心按键，IP67防护等级，通过EtherCAT硬实时总线直接发送控制指令，响应延迟小于5ms。</w:t>
      </w:r>
    </w:p>
    <w:p>
      <w:pPr>
        <w:pStyle w:val="BodyText"/>
      </w:pPr>
      <w:r>
        <w:rPr>
          <w:bCs/>
          <w:b/>
        </w:rPr>
        <w:t xml:space="preserve">（2）触摸屏操控。</w:t>
      </w:r>
      <w:r>
        <w:t xml:space="preserve"> </w:t>
      </w:r>
      <w:r>
        <w:t xml:space="preserve">配备7寸工业触控屏（1024×600），实时显示检测状态、里程速度、告警信息和AI标注结果，支持参数配置和历史数据查询，与工控机通过USB/RS485通信，响应时间小于100ms。</w:t>
      </w:r>
    </w:p>
    <w:p>
      <w:pPr>
        <w:pStyle w:val="BodyText"/>
      </w:pPr>
      <w:r>
        <w:rPr>
          <w:bCs/>
          <w:b/>
        </w:rPr>
        <w:t xml:space="preserve">（3）无线遥控操控。</w:t>
      </w:r>
      <w:r>
        <w:t xml:space="preserve"> </w:t>
      </w:r>
      <w:r>
        <w:t xml:space="preserve">便携式无线遥控手柄（2.4GHz，有效距离≥50m），包含方向摇杆、速度拨杆和启停/急停按键，支持操作人员在安全距离外对设备进行远程操控。</w:t>
      </w:r>
    </w:p>
    <w:p>
      <w:pPr>
        <w:pStyle w:val="BodyText"/>
      </w:pPr>
      <w:r>
        <w:rPr>
          <w:bCs/>
          <w:b/>
        </w:rPr>
        <w:t xml:space="preserve">（4）语音操控。</w:t>
      </w:r>
      <w:r>
        <w:t xml:space="preserve"> </w:t>
      </w:r>
      <w:r>
        <w:t xml:space="preserve">基于Jetson AGX Orin的语音控制模块，搭载双麦克风阵列（信噪比≥65dB），支持在≤85dB噪声环境下识别”开始检测”、</w:t>
      </w:r>
      <w:r>
        <w:t xml:space="preserve">“</w:t>
      </w:r>
      <w:r>
        <w:t xml:space="preserve">停止检测</w:t>
      </w:r>
      <w:r>
        <w:t xml:space="preserve">”</w:t>
      </w:r>
      <w:r>
        <w:t xml:space="preserve">等指令，响应时间小于500ms，无需网络连接。</w:t>
      </w:r>
    </w:p>
    <w:p>
      <w:pPr>
        <w:pStyle w:val="BodyText"/>
      </w:pPr>
      <w:r>
        <w:t xml:space="preserve">四种操控方式的优先级为：紧急制动（物理按键）&gt; 语音指令 &gt; 触摸屏指令 &gt; 无线遥控，保证设备运行安全。</w:t>
      </w:r>
    </w:p>
    <w:bookmarkEnd w:id="39"/>
    <w:bookmarkStart w:id="40"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40"/>
    <w:bookmarkEnd w:id="41"/>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AI推理引擎由两套独立算法模块组成：</w:t>
      </w:r>
      <w:r>
        <w:rPr>
          <w:bCs/>
          <w:b/>
        </w:rPr>
        <w:t xml:space="preserve">深度学习模块</w:t>
      </w:r>
      <w:r>
        <w:t xml:space="preserve">和</w:t>
      </w:r>
      <w:r>
        <w:rPr>
          <w:bCs/>
          <w:b/>
        </w:rPr>
        <w:t xml:space="preserve">传统图像处理模块</w:t>
      </w:r>
      <w:r>
        <w:t xml:space="preserve">，二者并行运行、互补增强，共同构成完整的视觉检测能力。</w:t>
      </w:r>
    </w:p>
    <w:p>
      <w:pPr>
        <w:pStyle w:val="BodyText"/>
      </w:pPr>
      <w:r>
        <w:rPr>
          <w:bCs/>
          <w:b/>
        </w:rPr>
        <w:t xml:space="preserve">（1）深度学习模块——YOLOv8m模型。</w:t>
      </w:r>
      <w:r>
        <w:t xml:space="preserve"> </w:t>
      </w:r>
      <w:r>
        <w:t xml:space="preserve">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pStyle w:val="BodyText"/>
      </w:pPr>
      <w:r>
        <w:rPr>
          <w:bCs/>
          <w:b/>
        </w:rPr>
        <w:t xml:space="preserve">（2）传统图像处理模块——OpenCV算法。</w:t>
      </w:r>
      <w:r>
        <w:t xml:space="preserve"> </w:t>
      </w:r>
      <w:r>
        <w:t xml:space="preserve">针对钢轨焊缝缺陷和道钉/螺栓状态检测，采用OpenCV传统图像处理算法实现高精度识别，与深度学习模块形成互补。</w:t>
      </w:r>
    </w:p>
    <w:p>
      <w:pPr>
        <w:pStyle w:val="BodyText"/>
      </w:pPr>
      <w:r>
        <w:t xml:space="preserve">焊缝缺陷检测流程分为五步：</w:t>
      </w:r>
    </w:p>
    <w:p>
      <w:pPr>
        <w:pStyle w:val="BodyText"/>
      </w:pPr>
      <w:r>
        <w:t xml:space="preserve">①</w:t>
      </w:r>
      <w:r>
        <w:t xml:space="preserve"> </w:t>
      </w:r>
      <w:r>
        <w:rPr>
          <w:bCs/>
          <w:b/>
        </w:rPr>
        <w:t xml:space="preserve">灰度化与去噪</w:t>
      </w:r>
      <w:r>
        <w:t xml:space="preserve">——输入RGB图像经加权法灰度化（Y=0.299R+0.587G+0.114B），再用5×5窗口中值滤波消除随机噪声，保留边缘锐度；</w:t>
      </w:r>
    </w:p>
    <w:p>
      <w:pPr>
        <w:pStyle w:val="BodyText"/>
      </w:pPr>
      <w:r>
        <w:t xml:space="preserve">②</w:t>
      </w:r>
      <w:r>
        <w:t xml:space="preserve"> </w:t>
      </w:r>
      <w:r>
        <w:rPr>
          <w:bCs/>
          <w:b/>
        </w:rPr>
        <w:t xml:space="preserve">对比度增强</w:t>
      </w:r>
      <w:r>
        <w:t xml:space="preserve">——直方图均衡化（CLAHE，clipLimit=2.0，tileSize=8×8）提升焊缝区域与母材的灰度差异，使缺陷特征更突出；</w:t>
      </w:r>
    </w:p>
    <w:p>
      <w:pPr>
        <w:pStyle w:val="BodyText"/>
      </w:pPr>
      <w:r>
        <w:t xml:space="preserve">③</w:t>
      </w:r>
      <w:r>
        <w:t xml:space="preserve"> </w:t>
      </w:r>
      <w:r>
        <w:rPr>
          <w:bCs/>
          <w:b/>
        </w:rPr>
        <w:t xml:space="preserve">边缘检测与焊缝定位</w:t>
      </w:r>
      <w:r>
        <w:t xml:space="preserve">——Canny算子（低阈=50，高阈=150）提取边缘轮廓，Hough直线检测（HoughLinesP，rho=1，theta=π/180，minLineLength=30，maxLineGap=10）定位焊缝特征线，结合焊缝宽度先验（约20~30mm）确定焊缝区域掩膜；</w:t>
      </w:r>
    </w:p>
    <w:p>
      <w:pPr>
        <w:pStyle w:val="BodyText"/>
      </w:pPr>
      <w:r>
        <w:t xml:space="preserve">④</w:t>
      </w:r>
      <w:r>
        <w:t xml:space="preserve"> </w:t>
      </w:r>
      <w:r>
        <w:rPr>
          <w:bCs/>
          <w:b/>
        </w:rPr>
        <w:t xml:space="preserve">缺陷轮廓提取</w:t>
      </w:r>
      <w:r>
        <w:t xml:space="preserve">——对掩膜内图像做二值化（OTSU自动阈值），形态学闭操作（MORPH_CLOSE，kernel=3×3）桥接断裂边缘，findContours提取所有连通域轮廓；</w:t>
      </w:r>
    </w:p>
    <w:p>
      <w:pPr>
        <w:pStyle w:val="BodyText"/>
      </w:pPr>
      <w:r>
        <w:t xml:space="preserve">⑤</w:t>
      </w:r>
      <w:r>
        <w:t xml:space="preserve"> </w:t>
      </w:r>
      <w:r>
        <w:rPr>
          <w:bCs/>
          <w:b/>
        </w:rPr>
        <w:t xml:space="preserve">缺陷分类与定级</w:t>
      </w:r>
      <w:r>
        <w:t xml:space="preserve">——计算各轮廓的面积、长宽比、灰度均值等几何特征，与焊缝缺陷样本库（凹陷/烧伤/未熔合/气孔等）进行特征匹配，输出缺陷类型及等级（轻/中/重）。</w:t>
      </w:r>
    </w:p>
    <w:p>
      <w:pPr>
        <w:pStyle w:val="BodyText"/>
      </w:pPr>
      <w: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pStyle w:val="BodyText"/>
      </w:pPr>
      <w:r>
        <w:t xml:space="preserve">OpenCV模块完全不依赖模型推理，响应时延低于5ms，有效弥补了深度学习在小目标、高密度场景下的检测盲区。</w:t>
      </w:r>
    </w:p>
    <w:p>
      <w:pPr>
        <w:pStyle w:val="BodyText"/>
      </w:pPr>
      <w:r>
        <w:t xml:space="preserve">两模块检测结果统一送入融合框架，与3D点云、IMU数据共同参与置信度融合判定，实现多源数据协同验证。</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Start w:id="55"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0"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0"/>
    <w:bookmarkStart w:id="51"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1"/>
    <w:bookmarkStart w:id="52"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2"/>
    <w:bookmarkStart w:id="53"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3"/>
    <w:bookmarkStart w:id="54"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4"/>
    <w:bookmarkEnd w:id="55"/>
    <w:bookmarkStart w:id="63" w:name="第6章-实验验证与分析"/>
    <w:p>
      <w:pPr>
        <w:pStyle w:val="Heading2"/>
      </w:pPr>
      <w:r>
        <w:t xml:space="preserve">第6章 实验验证与分析</w:t>
      </w:r>
    </w:p>
    <w:bookmarkStart w:id="56"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6"/>
    <w:bookmarkStart w:id="57"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7"/>
    <w:bookmarkStart w:id="58"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58"/>
    <w:bookmarkStart w:id="59"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59"/>
    <w:bookmarkStart w:id="60"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0"/>
    <w:bookmarkStart w:id="61"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1"/>
    <w:bookmarkStart w:id="62"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2"/>
    <w:bookmarkEnd w:id="63"/>
    <w:bookmarkStart w:id="68" w:name="第7章-结论与展望"/>
    <w:p>
      <w:pPr>
        <w:pStyle w:val="Heading2"/>
      </w:pPr>
      <w:r>
        <w:t xml:space="preserve">第7章 结论与展望</w:t>
      </w:r>
    </w:p>
    <w:bookmarkStart w:id="64"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4"/>
    <w:bookmarkStart w:id="65"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5"/>
    <w:bookmarkStart w:id="66"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6"/>
    <w:bookmarkStart w:id="67"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7"/>
    <w:bookmarkEnd w:id="68"/>
    <w:bookmarkEnd w:id="69"/>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2026-04-22T20:30:28Z</dcterms:created>
  <dcterms:modified xsi:type="dcterms:W3CDTF">2026-04-22T20:30:28Z</dcterms:modified>
</cp:coreProperties>
</file>

<file path=docProps/custom.xml><?xml version="1.0" encoding="utf-8"?>
<Properties xmlns="http://schemas.openxmlformats.org/officeDocument/2006/custom-properties" xmlns:vt="http://schemas.openxmlformats.org/officeDocument/2006/docPropsVTypes"/>
</file>