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研究背景与意义</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目前，我国铁路运营里程已突破15万公里，其中高速铁路超过4万公里[1]。随着列车运行速度的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**（1）作业效率低。** 人工步行巡检速度仅为1.1~1.5 km/h，日均工作6小时最大检测里程不足9km。对于我国庞大的铁路网，按此速度完成全线巡检需要投入大量人力与时间成本，效率低下且人员调度复杂。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**（2）数据质量不可靠。** 传统巡检依赖人工手写记录，数据格式不统一、标准不规范，离散数据难以支撑科学的线路健康评估和养护决策。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**（3）检测质量不稳定。** 人工巡检结果高度依赖巡检人员的工作经验和责任心，存在漏检、误检风险，且夜间及恶劣天气条件下形成运维盲区。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**（4）综合成本高昂。**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综上，铁路线路检测面临着效率、质量、成本、安全四大方面的严峻挑战。传统人工巡检模式已难以满足现代化铁路运维需求，迫切需要向智能化、自动化方向升级。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铁路线路检测技术经历了从人工巡检到机械化、智能化检测的发展历程。国内外围绕铁路检测开展了大量研究并取得了显著进展。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然而，轨检车成本高昂、调度复杂，且只能检测特定几何参数，无法覆盖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铁路检测的不同需求，国内外开发了多种单功能检测设备[2]：钢轨探伤仪利用超声波检测内部裂纹，轨廓仪基于激光三角测量原理检测钢轨轮廓磨耗，轴箱加速度仪通过振动信号识别不平顺区段。然而，单功能检测设备存在固有局限性——每次只能完成一项检测任务，需要多次出车才能覆盖全部检测项目，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随着计算机视觉和深度学习技术的快速发展，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单一传感器的感知能力存在固有局限，多源数据融合被认为是提升检测系统可靠性和智能化水平的关键途径。然而，现有融合工作大多在实验室条件下开展，缺乏面向实际铁路环境的系统性验证。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第三，提出了多源数据三级融合算法框架，建立了帧编号+里程+时间戳的统一时空基准，实现了多套异构传感器数据的天然对齐。第四，开发了面向铁路检测场景的AI算法模块，包括基于深度学习的轨面缺陷检测和基于EKF的高低测量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**创新点一：多源感知融合的硬件系统架构设计。** 提出了面向铁路线路综合检测的多传感器协同感知架构，将视觉检测（2D相机+3D线激光）与几何参数测量（姿态传感器+测距传感器）有机集成于同一移动平台，以一台设备同步完成8项检测功能。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系统总体设计——提出综合检测理念，进行需求分析和系统架构设计，给出系统的技术参数和工作流程。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传统铁路检测装备和方案多以单功能检测为主，即一台设备专职完成一项检测任务，完成全线检测需要多次出车、多人配合。这种模式存在数据一致性差、作业组织复杂、综合成本高等固有缺陷。</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缺陷位置、类型、等级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路3D线激光、1套姿态传感器（HWT905）和1套单点测距传感器。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基于Linux嵌入式操作系统运行。软件系统采用模块化设计，包括数据采集模块、AI推理引擎、多源融合模块和结果存储模块。各模块通过进程间通信实现数据交互，支持实时检测推理和批量数据后处理两种工作模式。</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**应用层**包括本地交互界面和远程监控平台。本地交互界面用于现场操作控制，远程监控平台支持检测数据的实时上传、查看和养护决策支持。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km（0.5m/s运行3h + 1m/s运行3h）</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综合检测系统对硬件平台提出了更高要求：多套异构传感器必须能够在同一移动平台上协同工作，且各传感器数据必须能够精确对齐至统一时空基准。基于此，本文提出以下硬件架构设计原则：</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**第一，传感器配置的系统性原则。** 硬件设计不以单传感器性能最大化为目标，而是以系统综合检测能力最优为目标，在成本、重量、功耗约束下实现传感器组合的最优配置。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**第二，数据接口的标准化原则。** 各传感器均通过标准接口（千兆以太网、UART/SPI、RS485）接入计算平台，统一数据格式和时钟同步协议，消除接口差异对融合算法的影响。</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**第三，机械安装的集成化原则。** 所有传感器在车体上的安装位置均经过精密标定，确保各传感器测量空间的一致性，为空间关联融合提供物理基础。</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运动平台设计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系统采用4轮驱动铁轨移动平台，车体结构采用铝合金轻量化设计，总重量控制在30kg以内。平台配备独立悬架系统，适应铁路现场复杂路况，保障传感器在行进过程中的稳定性。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动力系统采用48V大容量锂电池组供电，配合智能电源管理模块（BMS），支持连续作业6小时以上，满足单日检测任务需求。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2路（Cam0/Cam1）用于拍摄轨面缺陷，安装角度为斜向下45°；2路（Cam2/Cam3）用于拍摄道钉/螺栓，安装角度为斜向下；2路（Cam4/Cam5）用于辅助检测，安装角度与Cam2/Cam3一致。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Orin平台，集成12核ARM Cortex-A78AE CPU和NVIDIA Ampere架构GPU，算力达32 TOPS（INT8），能够满足AI推理和传感器数据处理的双重算力需求。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通信架构采用三网物理隔离设计：EtherCAT硬实时总线用于伺服驱动控制（毫秒级响应），千兆以太网专用于相机/激光高速数据采集（6Gbps），4G/5G无线网络用于检测数据的远程上传和远程监控。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系统供电采用48V主供电母线，经DC/DC转换后为各子系统供电。关键设计包括：过流/过压/欠压三级保护、供电状态实时监控、电池温度管理（BMS板温度≤60℃，管理板温度≤55℃）。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t>### 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t>### 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Σ(w_i)，其中权重函数为：w_i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t>### 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INT8量化后推理时延低于25ms。模型支持裂纹、掉块、凹陷三类缺陷的实时检测，mAP@0.5达92.5%。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t>### 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其中权重根据缺陷类型自适应配置（轨面裂纹：w_2D=0.70/w_3D=0.20/w_IMU=0.10；轮廓磨耗：w_2D=0.10/w_3D=0.90/w_IMU=0.00）。以轨面裂纹为例，若C_2D=0.85、C_3D=0.78、C_IMU=0.95，代入公式得C_fusion=0.847，对应2级（明显），与纯图像判定一致，但多维度印证提升了结论可信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远程升级与模型迭代</w:t>
      </w:r>
    </w:p>
    <w:p>
      <w:pPr>
        <w:spacing w:before="0" w:after="120" w:line="360" w:lineRule="auto"/>
        <w:ind w:firstLine="420"/>
        <w:jc w:val="both"/>
      </w:pPr>
      <w:r>
        <w:rPr>
          <w:rFonts w:ascii="宋体" w:hAnsi="宋体" w:eastAsia="宋体"/>
          <w:b w:val="0"/>
          <w:sz w:val="24"/>
        </w:rPr>
        <w:t>### 4.5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8项检测功能按数据来源可分为两组：**视觉检测组**（功能01~05）以2D工业相机和3D线激光为主要数据源；**几何参数检测组**（功能06~08）以测距传感器矩阵和HWT905姿态传感器为主要数据源。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t>### 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视觉检测功能群利用2D工业相机和3D线激光实现轨面状态和几何轮廓的检测，各功能共享感知硬件和融合框架。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利用2D工业相机采集轨面图像，AI模型实时识别裂纹、掉块、凹陷等缺陷，输出缺陷类型、位置和置信度。当融合置信度C_fusion低于阈值时，触发人工复核流程。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利用3D线激光（垂直朝下）扫描轨头轮廓，通过点云数据计算垂直磨耗ΔV和侧面磨耗ΔS，超限时输出告警。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波磨检测基于3D点云频谱分析，识别周期性波磨并计算波深；焊缝检测利用2D图像识别焊缝区域缺陷类型和等级。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t>### 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几何参数检测功能群利用测距传感器矩阵和HWT905姿态传感器实现轨距、水平和高低三项几何参数的检测。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采用测距传感器矩阵直接测量左、右轨内侧距离，测点位于轨顶以下16mm处，与姿态无关，实测轨距G_actual(s) = D_L(s) + D_R(s)，偏差G_deviation(s) = G_actual(s) - 1435mm。</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采用单点测距传感器（2000Hz）作为主测手段，HWT905姿态传感器（200Hz）用于俯仰角校正，通过EKF滤波融合得到轨道高程值。EKF状态向量为x_k = [h_track(k), h_veh(k), v_veh(k)]ᵀ，观测方程为z_k = d_测(k) = H + h_veh(k) - h_track(k) + v_k。</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t>### 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检测数据在统一时空基准下存储，帧编号、里程坐标和UTC时间戳三键索引，支持精确回溯和空间查询。数据通过4G/5G网络实时上传至远程监控平台，异常告警秒级送达。</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为验证综合检测系统性能，本文搭建了完整的实验平台，包括硬件系统集成、软件系统部署和测试环境标定。实验在济南铁路局管内实际运营线路开展，测试区段涵盖直线、曲线、桥梁过渡段等典型场景。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**轨距检测精度。** 采用标准轨距尺（精度±0.05mm）作为真值参照，在100m测试区段内系统轨距测量偏差控制在±0.2mm以内，满足铁路行业规范要求[2]。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**AI缺陷检测精度。** 在5000张人工标注的轨面缺陷图像测试集上，YOLOv8m模型mAP@0.5达到92.5%，其中裂纹检出率95.2%，掉块检出率91.8%，凹陷检出率89.3%。</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**水平检测精度。** 利用精度±0.05mm/m的电子水平仪测量超高值，与系统HWT905横滚角计算结果对比，偏差小于0.3mm。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检测效率对比实验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选取管辖100km线路的某工务段为对比场景：</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
              <w:rPr>
                <w:rFonts w:ascii="宋体" w:hAnsi="宋体" w:eastAsia="宋体"/>
                <w:b/>
                <w:sz w:val="21"/>
              </w:rPr>
              <w:t>对比项目</w:t>
            </w:r>
          </w:p>
        </w:tc>
        <w:tc>
          <w:tcPr>
            <w:tcW w:type="dxa" w:w="2882"/>
            <w:shd w:val="clear" w:color="auto" w:fill="D9E2F3"/>
          </w:tcPr>
          <w:p>
            <w:pPr>
              <w:jc w:val="center"/>
            </w:pPr>
            <w:r/>
            <w:r>
              <w:rPr>
                <w:rFonts w:ascii="宋体" w:hAnsi="宋体" w:eastAsia="宋体"/>
                <w:b/>
                <w:sz w:val="21"/>
              </w:rPr>
              <w:t>传统人工巡检</w:t>
            </w:r>
          </w:p>
        </w:tc>
        <w:tc>
          <w:tcPr>
            <w:tcW w:type="dxa" w:w="2882"/>
            <w:shd w:val="clear" w:color="auto" w:fill="D9E2F3"/>
          </w:tcPr>
          <w:p>
            <w:pPr>
              <w:jc w:val="center"/>
            </w:pPr>
            <w:r/>
            <w:r>
              <w:rPr>
                <w:rFonts w:ascii="宋体" w:hAnsi="宋体" w:eastAsia="宋体"/>
                <w:b/>
                <w:sz w:val="21"/>
              </w:rPr>
              <w:t>综合检测系统</w:t>
            </w:r>
          </w:p>
        </w:tc>
      </w:tr>
      <w:tr>
        <w:tc>
          <w:tcPr>
            <w:tcW w:type="dxa" w:w="2882"/>
          </w:tcPr>
          <w:p>
            <w:pPr>
              <w:jc w:val="center"/>
            </w:pPr>
            <w:r/>
            <w:r>
              <w:rPr>
                <w:rFonts w:ascii="宋体" w:hAnsi="宋体" w:eastAsia="宋体"/>
                <w:b w:val="0"/>
                <w:sz w:val="21"/>
              </w:rPr>
              <w:t>作业人员</w:t>
            </w:r>
          </w:p>
        </w:tc>
        <w:tc>
          <w:tcPr>
            <w:tcW w:type="dxa" w:w="2882"/>
          </w:tcPr>
          <w:p>
            <w:pPr>
              <w:jc w:val="center"/>
            </w:pPr>
            <w:r/>
            <w:r>
              <w:rPr>
                <w:rFonts w:ascii="宋体" w:hAnsi="宋体" w:eastAsia="宋体"/>
                <w:b w:val="0"/>
                <w:sz w:val="21"/>
              </w:rPr>
              <w:t>4人</w:t>
            </w:r>
          </w:p>
        </w:tc>
        <w:tc>
          <w:tcPr>
            <w:tcW w:type="dxa" w:w="2882"/>
          </w:tcPr>
          <w:p>
            <w:pPr>
              <w:jc w:val="center"/>
            </w:pPr>
            <w:r/>
            <w:r>
              <w:rPr>
                <w:rFonts w:ascii="宋体" w:hAnsi="宋体" w:eastAsia="宋体"/>
                <w:b w:val="0"/>
                <w:sz w:val="21"/>
              </w:rPr>
              <w:t>1人</w:t>
            </w:r>
          </w:p>
        </w:tc>
      </w:tr>
      <w:tr>
        <w:tc>
          <w:tcPr>
            <w:tcW w:type="dxa" w:w="2882"/>
          </w:tcPr>
          <w:p>
            <w:pPr>
              <w:jc w:val="center"/>
            </w:pPr>
            <w:r/>
            <w:r>
              <w:rPr>
                <w:rFonts w:ascii="宋体" w:hAnsi="宋体" w:eastAsia="宋体"/>
                <w:b w:val="0"/>
                <w:sz w:val="21"/>
              </w:rPr>
              <w:t>完成时间</w:t>
            </w:r>
          </w:p>
        </w:tc>
        <w:tc>
          <w:tcPr>
            <w:tcW w:type="dxa" w:w="2882"/>
          </w:tcPr>
          <w:p>
            <w:pPr>
              <w:jc w:val="center"/>
            </w:pPr>
            <w:r/>
            <w:r>
              <w:rPr>
                <w:rFonts w:ascii="宋体" w:hAnsi="宋体" w:eastAsia="宋体"/>
                <w:b w:val="0"/>
                <w:sz w:val="21"/>
              </w:rPr>
              <w:t>4人×6h = 24人·时</w:t>
            </w:r>
          </w:p>
        </w:tc>
        <w:tc>
          <w:tcPr>
            <w:tcW w:type="dxa" w:w="2882"/>
          </w:tcPr>
          <w:p>
            <w:pPr>
              <w:jc w:val="center"/>
            </w:pPr>
            <w:r/>
            <w:r>
              <w:rPr>
                <w:rFonts w:ascii="宋体" w:hAnsi="宋体" w:eastAsia="宋体"/>
                <w:b w:val="0"/>
                <w:sz w:val="21"/>
              </w:rPr>
              <w:t>1人×50min ≈ 1人·时</w:t>
            </w:r>
          </w:p>
        </w:tc>
      </w:tr>
      <w:tr>
        <w:tc>
          <w:tcPr>
            <w:tcW w:type="dxa" w:w="2882"/>
          </w:tcPr>
          <w:p>
            <w:pPr>
              <w:jc w:val="center"/>
            </w:pPr>
            <w:r/>
            <w:r>
              <w:rPr>
                <w:rFonts w:ascii="宋体" w:hAnsi="宋体" w:eastAsia="宋体"/>
                <w:b w:val="0"/>
                <w:sz w:val="21"/>
              </w:rPr>
              <w:t>按人·时计效率提升</w:t>
            </w:r>
          </w:p>
        </w:tc>
        <w:tc>
          <w:tcPr>
            <w:tcW w:type="dxa" w:w="2882"/>
          </w:tcPr>
          <w:p>
            <w:pPr>
              <w:jc w:val="center"/>
            </w:pPr>
            <w:r/>
            <w:r>
              <w:rPr>
                <w:rFonts w:ascii="宋体" w:hAnsi="宋体" w:eastAsia="宋体"/>
                <w:b w:val="0"/>
                <w:sz w:val="21"/>
              </w:rPr>
              <w:t>—</w:t>
            </w:r>
          </w:p>
        </w:tc>
        <w:tc>
          <w:tcPr>
            <w:tcW w:type="dxa" w:w="2882"/>
          </w:tcPr>
          <w:p>
            <w:pPr>
              <w:jc w:val="center"/>
            </w:pPr>
            <w:r/>
            <w:r>
              <w:rPr>
                <w:rFonts w:ascii="宋体" w:hAnsi="宋体" w:eastAsia="宋体"/>
                <w:b w:val="0"/>
                <w:sz w:val="21"/>
              </w:rPr>
              <w:t>**约48倍**</w:t>
            </w:r>
          </w:p>
        </w:tc>
      </w:tr>
      <w:tr>
        <w:tc>
          <w:tcPr>
            <w:tcW w:type="dxa" w:w="2882"/>
          </w:tcPr>
          <w:p>
            <w:pPr>
              <w:jc w:val="center"/>
            </w:pPr>
            <w:r/>
            <w:r>
              <w:rPr>
                <w:rFonts w:ascii="宋体" w:hAnsi="宋体" w:eastAsia="宋体"/>
                <w:b w:val="0"/>
                <w:sz w:val="21"/>
              </w:rPr>
              <w:t>日检测里程</w:t>
            </w:r>
          </w:p>
        </w:tc>
        <w:tc>
          <w:tcPr>
            <w:tcW w:type="dxa" w:w="2882"/>
          </w:tcPr>
          <w:p>
            <w:pPr>
              <w:jc w:val="center"/>
            </w:pPr>
            <w:r/>
            <w:r>
              <w:rPr>
                <w:rFonts w:ascii="宋体" w:hAnsi="宋体" w:eastAsia="宋体"/>
                <w:b w:val="0"/>
                <w:sz w:val="21"/>
              </w:rPr>
              <w:t>约9km</w:t>
            </w:r>
          </w:p>
        </w:tc>
        <w:tc>
          <w:tcPr>
            <w:tcW w:type="dxa" w:w="2882"/>
          </w:tcPr>
          <w:p>
            <w:pPr>
              <w:jc w:val="center"/>
            </w:pPr>
            <w:r/>
            <w:r>
              <w:rPr>
                <w:rFonts w:ascii="宋体" w:hAnsi="宋体" w:eastAsia="宋体"/>
                <w:b w:val="0"/>
                <w:sz w:val="21"/>
              </w:rPr>
              <w:t>16.2km</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综合检测系统以单人操作实现了传统4人团队约48倍的效率提升，单日检测里程达16.2km，且数据质量稳定、可追溯。</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系统可靠性验证实验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**融合判定可靠性。** 在1000个缺陷样本上，三源融合判定准确率达97.5%，较纯2D图像检测提升5.2个百分点，有效降低了漏检率和误报率。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**长时间运行稳定性。** 系统连续运行12小时，各传感器数据质量保持稳定，AI推理时延无明显退化，满足实际工程应用需求。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实验结论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实验结果表明，综合检测系统在检测精度、作业效率和系统可靠性三方面均达到预期目标，具备替代或辅助传统人工巡检的实际应用价值。</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