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  <w:p>
      <w:pPr>
        <w:jc w:val="center"/>
        <w:spacing w:before="1440" w:after="240" w:line="360" w:lineRule="auto"/>
      </w:pPr>
      <w:r>
        <w:rPr>
          <w:sz w:val="44"/>
          <w:szCs w:val="44"/>
          <w:rFonts w:ascii="SimSun" w:hAnsi="SimSun" w:cs="SimSun" w:eastAsia="SimSun"/>
          <w:b/>
        </w:rPr>
        <w:t xml:space="preserve">高精度调姿平台需求文档</w:t>
      </w:r>
    </w:p>
    <w:p>
      <w:pPr>
        <w:jc w:val="both"/>
        <w:spacing w:before="0" w:after="0" w:line="360" w:lineRule="auto"/>
      </w:pPr>
    </w:p>
    <w:p>
      <w:pPr>
        <w:jc w:val="both"/>
        <w:spacing w:before="0" w:after="0" w:line="360" w:lineRule="auto"/>
      </w:pP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文档编号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HPAP‑RD‑20260423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版　　本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V1.0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日　　期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2026年4月23日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编制部门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技术部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用　　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供方技术方案依据</w:t>
            </w:r>
          </w:p>
        </w:tc>
      </w:tr>
    </w:tbl>
    <w:p>
      <w:pPr>
        <w:jc w:val="both"/>
        <w:spacing w:before="240" w:after="0" w:line="360" w:lineRule="auto"/>
      </w:pPr>
    </w:p>
    <w:p>
      <w:pPr>
        <w:jc w:val="center"/>
        <w:spacing w:before="480" w:after="24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目    录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1  项目名称与概述  1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2  平台基本参数  1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3  调姿性能指标  2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4  执行机构要求  2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5  控制系统要求  3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6  机械接口要求  4</w:t>
      </w:r>
    </w:p>
    <w:p>
      <w:pPr>
        <w:jc w:val="both"/>
        <w:spacing w:before="0" w:after="0" w:line="360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7  验收条件  4</w:t>
      </w:r>
    </w:p>
    <w:p>
      <w:pPr>
        <w:jc w:val="both"/>
        <w:spacing w:before="240" w:after="0" w:line="360" w:lineRule="auto"/>
      </w:pPr>
    </w:p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1 项目名称与概述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1.1 项目名称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基于实时测距反馈的高精度调姿平台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1.2 项目概述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设计并研制一套六自由度（或三自由度）Stewart并联机构调姿平台，安装于运载小车上。平台在随小车行进过程中，通过底部单点测距传感器实时检测轨道高程，自动抵消轨道起伏，始终保持下平台水平。</w:t>
      </w:r>
    </w:p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2 平台基本参数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2.1 上下平台定义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名称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角色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上平台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静平台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固定于运载小车，承受整体重量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下平台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动平台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由6组电动缸驱动，始终保持水平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2.2 尺寸与重量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φ200 mm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铝合金，轻量化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φ300 mm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钢结构，承载基座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支链数量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6组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均匀分布，120°间隔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下平台总重量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含传感器支架，不含负载</w:t>
            </w:r>
          </w:p>
        </w:tc>
      </w:tr>
    </w:tbl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3 调姿性能指标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3.1 核心性能指标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指标名称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横滚角和俯仰角均满足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全链路响应延迟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从测距采样到电动缸执行端到端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调姿响应带宽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可补偿的轨道起伏频率上限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紧凑设计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≥ 200 N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满足2kg负载及动态惯性力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3.2 精度说明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在双传感器间距 L = 300 mm 条件下：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• 单侧高差容限：0.26 mm（对应0.05°）</w:t>
      </w:r>
    </w:p>
    <w:p>
      <w:pPr>
        <w:jc w:val="both"/>
        <w:spacing w:before="0" w:after="0" w:line="315" w:lineRule="auto"/>
        <w:ind w:firstLine="420"/>
      </w:pPr>
      <w:r>
        <w:rPr>
          <w:sz w:val="21"/>
          <w:szCs w:val="21"/>
          <w:rFonts w:ascii="SimSun" w:hAnsi="SimSun" w:cs="SimSun" w:eastAsia="SimSun"/>
        </w:rPr>
        <w:t xml:space="preserve">• 两侧最大允许高差：0.52 mm</w:t>
      </w:r>
    </w:p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4 执行机构要求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4.1 Stewart并联平台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机构类型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6‑DOF（或3‑DOF）Stewart并联机构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自由度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6个（X/Y/Z三轴平移 + 三轴旋转）或3个（横滚/俯仰/升降）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电动缸类型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伺服电动缸（无杆式）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≥ 200 N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电动缸传动精度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±0.01 mm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万向节类型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虎克铰/球铰混合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4.2 运动范围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最大横滚角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最大俯仰角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最大偏航角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±10°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最大垂直位移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±10 mm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重复定位精度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±0.02 mm</w:t>
            </w:r>
          </w:p>
        </w:tc>
      </w:tr>
    </w:tbl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5 控制系统要求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5.1 主控平台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主控型号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Jetson AGX Orin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算力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32 TOPS（INT8）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传感器数据处理、融合算法、控制算法运行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5.2 通信要求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实时总线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EtherCAT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1 ms（1000 Hz）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伺服驱动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6轴伺服驱动器，独立控制6个电动缸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5.3 控制链路延迟预算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预算延迟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测距采样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数据处理与融合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2.0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EtherCAT指令下发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伺服响应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电动缸机械响应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全链路总计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5 ms</w:t>
            </w:r>
          </w:p>
        </w:tc>
      </w:tr>
    </w:tbl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6 机械接口要求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6.1 上平台安装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安装方式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固定安装于运载小车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连接方式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螺栓连接，平台底座开孔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安装螺孔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均布于上平台边缘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6.2 下平台负载接口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可用负载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2 kg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负载安装方式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螺栓连接，安装于下平台上表面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接口螺孔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均布于下平台边缘</w:t>
            </w:r>
          </w:p>
        </w:tc>
      </w:tr>
    </w:tbl>
    <w:p>
      <w:pPr>
        <w:jc w:val="center"/>
        <w:spacing w:before="240" w:after="180" w:line="360" w:lineRule="auto"/>
      </w:pPr>
      <w:r>
        <w:rPr>
          <w:sz w:val="28"/>
          <w:szCs w:val="28"/>
          <w:rFonts w:ascii="SimSun" w:hAnsi="SimSun" w:cs="SimSun" w:eastAsia="SimSun"/>
          <w:b/>
        </w:rPr>
        <w:t xml:space="preserve">7 验收条件</w:t>
      </w: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7.1 静态调姿精度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静止状态下，平台调平后用角度传感器测量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俯仰角偏差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静止状态下，平台调平后用角度传感器测量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重复性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连续10次调平，偏差≤±0.02°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多次往复调平测试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7.2 动态调姿精度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动态横滚角偏差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±0.1°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车速1m/s，轨道起伏±5mm/0.5Hz条件下测量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动态俯仰角偏差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±0.1°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车速1m/s，轨道起伏±5mm/0.5Hz条件下测量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7.3 响应延迟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从传感器信号触发到电动缸开始运动的示波器测量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7.4 外观与结构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外观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表面无划伤、变形，标识清晰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连接件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各连接部位牢固，无松动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防护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电动缸接口防护等级不低于IP65</w:t>
            </w:r>
          </w:p>
        </w:tc>
      </w:tr>
    </w:tbl>
    <w:p>
      <w:pPr>
        <w:jc w:val="both"/>
        <w:spacing w:before="120" w:after="0" w:line="360" w:lineRule="auto"/>
      </w:pPr>
    </w:p>
    <w:p>
      <w:pPr>
        <w:jc w:val="left"/>
        <w:spacing w:before="120" w:after="60" w:line="360" w:lineRule="auto"/>
      </w:pPr>
      <w:r>
        <w:rPr>
          <w:sz w:val="24"/>
          <w:szCs w:val="24"/>
          <w:rFonts w:ascii="SimSun" w:hAnsi="SimSun" w:cs="SimSun" w:eastAsia="SimSun"/>
          <w:b/>
        </w:rPr>
        <w:t xml:space="preserve">7.5 文档交付</w:t>
      </w:r>
    </w:p>
    <w:tbl>
      <w:tblPr>
        <w:tblStyle w:val="TableGrid"/>
        <w:tblW w:w="0" w:type="auto"/>
        <w:tblBorders>
          <w:top w:val="single" w:sz="12" w:color="000000"/>
          <w:bottom w:val="single" w:sz="12" w:color="000000"/>
          <w:insideH w:val="single" w:sz="4" w:color="000000"/>
          <w:insideV w:val="single" w:sz="4" w:color="000000"/>
        </w:tblBorders>
      </w:tblPr>
      <w:tr>
        <w:trPr>
          <w:tblHeader/>
        </w:trP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交付项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机械图纸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含上下平台、电动缸安装尺寸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接口定义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电气接口、通信接口定义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操作手册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安装、操作说明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出厂检测报告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1"/>
                <w:szCs w:val="21"/>
                <w:rFonts w:ascii="SimSun" w:hAnsi="SimSun" w:cs="SimSun" w:eastAsia="SimSun"/>
              </w:rPr>
              <w:t xml:space="preserve">含各项验收指标的实测数据</w:t>
            </w:r>
          </w:p>
        </w:tc>
      </w:tr>
    </w:tbl>
    <w:sectPr>
      <w:pgSz w:w="12240" w:h="15840"/>
      <w:pgMar w:top="1440" w:bottom="1440" w:left="1418" w:right="141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