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 - 总体技术方案 V2.0</w:t>
      </w:r>
    </w:p>
    <w:p>
      <w:pPr>
        <w:pStyle w:val="Heading2"/>
      </w:pPr>
      <w:r>
        <w:rPr>
          <w:rFonts w:ascii="微软雅黑" w:hAnsi="微软雅黑" w:eastAsia="微软雅黑"/>
        </w:rPr>
        <w:t>1. 均衡通信与异常自愈方案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策略说明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工程意义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主动网络探针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C#向云端发送测速包，反推路由器带SIM卡真实带宽。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穿透路由器感知真实的弱网/隧道环境。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QoS 四级流控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P0告警/P1状态/P2切片/P3全图点云分级调度。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保证紧急数据永远不堵车。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隧道掉速写锁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断网时触发写锁，大文件落盘。强制采用企业级长效写入SSD。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防止消费级固态缓存耗尽掉速憋死内存池。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软硬双看门狗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探针死锁触发 GPIO 控制 PMB 切断路由器电源。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实现无人值守场景下的物理级硬件自愈。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