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铁路线路智能检测机器人总体技术方案 V2.1 (强一致性最终版)</w:t>
      </w:r>
    </w:p>
    <w:p>
      <w:pPr>
        <w:pStyle w:val="Heading2"/>
      </w:pPr>
      <w:r>
        <w:t>1. 边缘端AI与端云协同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业务节点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执行逻辑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边缘AI截流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YOLO量化模型仅做 ROI 裁剪(保留螺栓/裂纹)，剔除90%背景。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弱网主动探针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C#高频心跳包测算路由器真实带宽(RTT/丢包率)，动态调整发送速率。</w:t>
            </w:r>
          </w:p>
        </w:tc>
      </w:tr>
    </w:tbl>
    <w:p>
      <w:pPr>
        <w:pStyle w:val="Heading2"/>
      </w:pPr>
      <w:r>
        <w:t>2. 四级QoS与存储防掉速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数据内容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掉线/防爆策略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P0 极高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急停与告警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必须预留10%带宽，绝不落盘。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P1 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解耦几何数据/里程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秒级发送，保证监控坐标不断联。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P2 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ROI 截流图像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隧道内触发写锁，存入工业级SSD。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P3 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原始大图/点云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完全依靠驻车Wi-Fi或满格网络时断点续传。严禁使用消费级掉速SSD。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