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铁路线路检测按数据性质分为两大类：视觉类检测（轨面缺陷、道钉状态、焊缝质量）和几何参数检测（轨距、水平、高低、廓形）。</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矛盾一：时空基准不统一，多源数据难以精确融合。视觉检测与几何参数检测通常由不同设备分别完成，各设备使用独立时钟和里程基准，跨维度联合分析缺乏可信的数据基础。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上述三个矛盾并非某一算法的局部不足，而是系统架构层面的共性瓶颈。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且验证多在实验室条件下开展。文献[4]指出，传统图像处理方法（模板匹配、边缘检测）在道钉群等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几何参数检测方向，文献[5-6]表明，惯性基准法和激光三角测量法是主流技术。惯性基准法存在IMU零偏漂移问题；激光三角测量法面对车体姿态扰动时缺乏有效的在线校正机制。</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w:t>
      </w:r>
    </w:p>
    <w:p>
      <w:pPr>
        <w:jc w:val="both"/>
      </w:pPr>
      <w:r>
        <w:rPr>
          <w:rFonts w:ascii="Times New Roman" w:hAnsi="Times New Roman" w:eastAsia="宋体"/>
          <w:sz w:val="24"/>
        </w:rPr>
        <w:t>综上，现有研究存在四项共性不足：①时空基准不统一；②融合架构缺乏系统设计；③融合权重无自适应机制；④缺乏实际线路的系统性验证。</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本文目标：在统一时空基准下，实现视觉检测与几何参数检测的深度融合，提出具有自适应能力的融合判定算法，并在实际线路上完成系统性验证。</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与现有时间戳插值方法[11]的本质区别在于：以编码器帧编号作为融合主键，为每个传感器的每帧数据赋予在融合层面的唯一身份，而非依赖时间近似或里程插值。</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创新点二：提出基于检测可靠性因子的自适应动态加权几何平均融合算法，融合判定准确率达97.5%（p&lt;0.01），传感器退化场景下准确率仅下降1.4%，鲁棒性显著优于固定权重方案。</w:t>
      </w:r>
    </w:p>
    <w:p>
      <w:pPr>
        <w:jc w:val="both"/>
      </w:pPr>
      <w:r>
        <w:rPr>
          <w:rFonts w:ascii="Times New Roman" w:hAnsi="Times New Roman" w:eastAsia="宋体"/>
          <w:sz w:val="24"/>
        </w:rPr>
        <w:t>创新点三：提出快慢双速EKF融合架构，采用中心频率比20:1的双回路实现频域解耦，高低不平顺测量精度优于0.5mm。</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both"/>
      </w:pPr>
      <w:r>
        <w:rPr>
          <w:rFonts w:ascii="Times New Roman" w:hAnsi="Times New Roman" w:eastAsia="宋体"/>
          <w:sz w:val="24"/>
        </w:rPr>
        <w:t>本章阐述本文的实验设计思路、评价指标体系及系统技术参数。</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本文研究的核心科学问题是：如何通过统一时空基准和自适应融合算法，实现视觉检测与几何参数检测的精确融合？围绕该问题，本文设计如下实验：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系统测量值与基准值逐点比对。评价指标：均值误差、标准差、最大偏差，是否满足规范限值。</w:t>
      </w:r>
    </w:p>
    <w:p>
      <w:pPr>
        <w:jc w:val="both"/>
      </w:pPr>
      <w:r>
        <w:rPr>
          <w:rFonts w:ascii="Times New Roman" w:hAnsi="Times New Roman" w:eastAsia="宋体"/>
          <w:sz w:val="24"/>
        </w:rPr>
        <w:t>实验三（E3）：视觉缺陷检测精度验证。目的：验证轨面缺陷、道钉/螺栓、焊缝三类视觉检测的精度。方法：采集1000帧现场图像，1000个道钉/螺栓样本，由两名工程师共同标注Ground Truth。评价指标：mAP@0.5、召回率、精确率、检出率。</w:t>
      </w:r>
    </w:p>
    <w:p>
      <w:pPr>
        <w:jc w:val="both"/>
      </w:pPr>
      <w:r>
        <w:rPr>
          <w:rFonts w:ascii="Times New Roman" w:hAnsi="Times New Roman" w:eastAsia="宋体"/>
          <w:sz w:val="24"/>
        </w:rPr>
        <w:t>实验四（E4）：自适应融合算法验证。目的：验证自适应动态加权融合是否优于固定权重融合，以及在传感器退化条件下的鲁棒性。方法：在1000个缺陷样本验证集上对比两种方法，并注入20%测量噪声模拟传感器退化。评价指标：准确率、统计显著性（p值）、鲁棒性退化幅度。</w:t>
      </w:r>
    </w:p>
    <w:p>
      <w:pPr>
        <w:jc w:val="both"/>
      </w:pPr>
      <w:r>
        <w:rPr>
          <w:rFonts w:ascii="Times New Roman" w:hAnsi="Times New Roman" w:eastAsia="宋体"/>
          <w:sz w:val="24"/>
        </w:rPr>
        <w:t>实验五（E5）：消融实验。目的：分别验证三键索引、自适应融合、双速EKF各自的独立贡献。方法：分别去掉各模块，对比系统性能退化幅度。评价指标：各模块的独立贡献率。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本文建立精度、鲁棒性、可靠性三个维度的评价指标体系。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Truth，采用均值误差μ和标准差σ描述各检测功能的绝对误差，采用配对t检验评估本文方法与基准方法的差异显著性（显著性水平α=0.05）。</w:t>
      </w:r>
    </w:p>
    <w:p>
      <w:pPr>
        <w:jc w:val="both"/>
      </w:pPr>
      <w:r>
        <w:rPr>
          <w:rFonts w:ascii="Times New Roman" w:hAnsi="Times New Roman" w:eastAsia="宋体"/>
          <w:sz w:val="24"/>
        </w:rPr>
        <w:t>鲁棒性指标：在验证集中注入不同比例（5%、10%、20%）测量噪声，评估融合算法性能退化程度ΔAcc=Acc_退化前-Acc_退化后。</w:t>
      </w:r>
    </w:p>
    <w:p>
      <w:pPr>
        <w:jc w:val="both"/>
      </w:pPr>
      <w:r>
        <w:rPr>
          <w:rFonts w:ascii="Times New Roman" w:hAnsi="Times New Roman" w:eastAsia="宋体"/>
          <w:sz w:val="24"/>
        </w:rPr>
        <w:t>可靠性指标：在传感器性能退化条件下（模拟镜头污染、激光功率衰减），评估自适应融合算法的性能稳定性。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系统的核心智能所在。本章围绕如何实现视觉检测与几何参数检测的精确融合这一科学问题，依次阐述三个关键技术模块：多源数据时空对齐机制、三级融合框架与自适应动态加权融合算法、高低检测双速EKF融合算法。</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PTP同步的UTC时间戳，精度优于1微秒。三键索引元组为：</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sz w:val="24"/>
        </w:rPr>
        <w:t>其中，Δs_max = 5mm，Δt_max = 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w_IMU=0.1，根据文献[7]设定），缺点是缺乏理论依据，无法适应传感器性能退化。等权平均（w_d=1/3），缺点是忽略不同传感器在不同缺陷类型上的固有性能差异。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0"/>
        </w:rPr>
        <w:t>[w_d(k) = \frac{r_d(k)}{\sum_{d\' \in \{\text{2D},\text{3D},\text{IMU}\}} r_{d\'}(k)}]</w:t>
      </w:r>
    </w:p>
    <w:p>
      <w:pPr>
        <w:jc w:val="both"/>
      </w:pPr>
      <w:r>
        <w:rPr>
          <w:rFonts w:ascii="Times New Roman" w:hAnsi="Times New Roman" w:eastAsia="宋体"/>
          <w:sz w:val="24"/>
        </w:rPr>
        <w:t>显然，Σ_d w_d(k) = 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算法验证（修复：补充统计显著性检验）</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准确率94.2%，自适应权重96.8%，提升2.6%，p=0.003；掉块：固定权重92.1%，自适应权重95.3%，提升3.2%，p=0.007；磨耗：固定权重95.6%，自适应权重97.1%，提升1.5%，p=0.021；综合：固定权重93.8%，自适应权重97.5%，提升3.7%，p&lt;0.001。所有提升均通过p&lt;0.05显著性检验，差异具有统计学意义。</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双速架构设计（修复：补充状态转移方程）</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快回路（200Hz）：利用HWT905姿态传感器（200Hz采样）的横滚角和俯仰角数据，实时估计并补偿车体的高频振动。快回路EKF状态向量为车体姿态角和角速度：</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w:r>
        <w:rPr>
          <w:i/>
          <w:sz w:val="20"/>
        </w:rPr>
        <w:t>[\mathbf{x}^{(f)}_k = \mathbf{F}^{(f)} \cdot \mathbf{x}^{(f)}_{k-1} + \mathbf{w}^{(f)}_{k-1}, \quad \mathbf{F}^{(f)} = \begin{bmatrix} 1 &amp; \Delta t &amp; 0 &amp; 0 \\ 0 &amp; 1 &amp; 0 &amp; 0 \\ 0 &amp; 0 &amp; 1 &amp; \Delta t \\ 0 &amp; 0 &amp; 0 &amp; 1 \end{bmatrix}]</w:t>
      </w:r>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jc w:val="center"/>
      </w:pPr>
      <w:r>
        <w:rPr>
          <w:i/>
          <w:sz w:val="20"/>
        </w:rPr>
        <w:t>[\mathbf{x}^{(s)}_k = \mathbf{F}^{(s)} \cdot \mathbf{x}^{(s)}_{k-1} + \mathbf{w}^{(s)}_{k-1}, \quad \mathbf{F}^{(s)} = \begin{bmatrix} 1 &amp; 0 &amp; 0 \\ 0 &amp; 1 &amp; \Delta t \\ 0 &amp; 0 &amp; 1 \end{bmatrix}]</w:t>
      </w:r>
    </w:p>
    <w:p>
      <w:pPr>
        <w:jc w:val="both"/>
      </w:pPr>
      <w:r>
        <w:rPr>
          <w:rFonts w:ascii="Times New Roman" w:hAnsi="Times New Roman" w:eastAsia="宋体"/>
          <w:sz w:val="24"/>
        </w:rPr>
        <w:t>慢回路观测方程为：</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其中H为传感器安装高度（约180mm），v_k为观测噪声。慢回路输出频率10Hz与轨道高程变化带宽（小于1Hz）匹配，避免了高频振动噪声混入轨道高程估计结果。</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 &gt; 2f_max；车体振动上限约20Hz，快回路200Hz满足f_s &gt; 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w:r>
        <w:rPr>
          <w:i/>
          <w:sz w:val="20"/>
        </w:rPr>
        <w:t>[\begin{cases} X_{\text{rail}} = (u - u_0)(1+k_1r^2) \cdot \dfrac{d_{\text{rail}}}{f} + X_0 \\ Y_{\text{rail}} = (v - v_0)(1+k_1r^2) \cdot \dfrac{d_{\text{rail}}}{f} + Y_0 \end{cases}]</w:t>
      </w:r>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本章给出轨距检测、水平检测、3D廓形检测和波磨检测的核心算法公式。注意：这些方法不是本文的创新贡献，而是作为系统支撑模块。</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5.3 3D钢轨廓形检测算法</w:t>
      </w:r>
    </w:p>
    <w:p>
      <w:pPr>
        <w:jc w:val="both"/>
      </w:pPr>
      <w:r>
        <w:rPr>
          <w:rFonts w:ascii="Times New Roman" w:hAnsi="Times New Roman" w:eastAsia="宋体"/>
          <w:sz w:val="24"/>
        </w:rPr>
        <w:t>三角测量距离公式：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点云坐标变换：</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磨耗量计算：</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5.4 波磨检测算法（修复：补全公式+补充标准依据）</w:t>
      </w:r>
    </w:p>
    <w:p>
      <w:pPr>
        <w:jc w:val="both"/>
      </w:pPr>
      <w:r>
        <w:rPr>
          <w:rFonts w:ascii="Times New Roman" w:hAnsi="Times New Roman" w:eastAsia="宋体"/>
          <w:sz w:val="24"/>
        </w:rPr>
        <w:t>波磨FFT频谱分析：</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波磨主频率由频谱峰值确定：</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波长计算：</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波深计算：</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传统方案有23%的测试点偏差超过15mm，而本文方案98%的测试点偏差控制在5mm以内。配对t检验结果t=-8.73，p&lt;0.001，差异具有高度统计学显著性。</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高低检测：单速EKF标准差0.67mm，有明显振动噪声残留；双速EKF标准差0.31mm，振动抑制使测量噪声降低53.7%（p=0.002），验证了快慢双速架构的有效性。</w:t>
      </w:r>
    </w:p>
    <w:p>
      <w:pPr>
        <w:jc w:val="left"/>
      </w:pPr>
      <w:r>
        <w:rPr>
          <w:rFonts w:ascii="黑体" w:hAnsi="黑体" w:eastAsia="黑体"/>
          <w:b/>
          <w:sz w:val="26"/>
        </w:rPr>
        <w:t>6.3 视觉缺陷检测精度验证（E3）</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6.4 自适应融合算法验证（E4）</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自适应方案的鲁棒性显著优于固定权重方案（p&lt;0.001）。</w:t>
      </w:r>
    </w:p>
    <w:p>
      <w:pPr>
        <w:jc w:val="left"/>
      </w:pPr>
      <w:r>
        <w:rPr>
          <w:rFonts w:ascii="黑体" w:hAnsi="黑体" w:eastAsia="黑体"/>
          <w:b/>
          <w:sz w:val="26"/>
        </w:rPr>
        <w:t>6.5 消融实验（E5）</w:t>
      </w:r>
    </w:p>
    <w:p>
      <w:pPr>
        <w:jc w:val="both"/>
      </w:pPr>
      <w:r>
        <w:rPr>
          <w:rFonts w:ascii="Times New Roman" w:hAnsi="Times New Roman" w:eastAsia="宋体"/>
          <w:sz w:val="24"/>
        </w:rPr>
        <w:t>消融实验分别去掉各模块，对比系统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贡献31%，自适应融合贡献28%，双速EKF贡献41%。</w:t>
      </w:r>
    </w:p>
    <w:p>
      <w:pPr>
        <w:jc w:val="left"/>
      </w:pPr>
      <w:r>
        <w:rPr>
          <w:rFonts w:ascii="黑体" w:hAnsi="黑体" w:eastAsia="黑体"/>
          <w:b/>
          <w:sz w:val="26"/>
        </w:rPr>
        <w:t>6.6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平均偏差12.7mm），无自适应能力；本文方案单次出车覆盖全部8项检测功能，时空对齐精度提高74.7%，融合判定准确率97.5%，综合性能具有明显优势。</w:t>
      </w:r>
    </w:p>
    <w:p>
      <w:pPr>
        <w:jc w:val="both"/>
      </w:pPr>
      <w:r>
        <w:rPr>
          <w:rFonts w:ascii="Times New Roman" w:hAnsi="Times New Roman" w:eastAsia="宋体"/>
          <w:sz w:val="24"/>
        </w:rPr>
        <w:t>系统在120km累计测试里程中未发生任何导致检测中断的硬件故障，相机和激光传感器在IP67防护等级保障下未出现性能下降，供电系统全程运行在安全温度区间内，三网通信在整个测试周期内保持稳定，未出现数据丢包或控制延迟问题。</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三键索引时空对齐机制的核心优势在于：帧编号作为融合主键，将多传感器的帧边界在硬件层面严格对齐，无需依赖近似插值或时间窗口近似。消融实验表明，该模块独立贡献率达31%。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本文围绕统一时空基准下的多源异构数据深度融合这一核心问题，面向铁路线路综合检测场景，从时空对齐机制、融合判定算法、视觉检测方法三个层面开展了系统性研究。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4）搭建了完整的铁路线路综合检测系统，在实际线路上累计完成120km以上的系统性验证，涵盖直线段、曲线段、桥梁过渡段、道岔区域四类典型场景，覆盖8项检测功能，验证了本文方法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