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宋体" w:hAnsi="宋体"/>
          <w:color w:val="1A1A1A"/>
          <w:sz w:val="21"/>
        </w:rPr>
        <w:t># 面向铁路线路的多传感器融合综合检测系统设计与实现</w:t>
      </w:r>
    </w:p>
    <w:p>
      <w:pPr>
        <w:spacing w:after="40"/>
      </w:pPr>
    </w:p>
    <w:p>
      <w:pPr>
        <w:pStyle w:val="Heading1"/>
      </w:pPr>
      <w:r>
        <w:t>第4章 软件与AI算法设计</w:t>
      </w:r>
    </w:p>
    <w:p>
      <w:pPr>
        <w:spacing w:after="40"/>
      </w:pPr>
    </w:p>
    <w:p>
      <w:pPr>
        <w:pStyle w:val="Heading2"/>
      </w:pPr>
      <w:r>
        <w:t>4.1 软件系统总体架构</w:t>
      </w:r>
    </w:p>
    <w:p>
      <w:pPr>
        <w:spacing w:after="40"/>
      </w:pPr>
    </w:p>
    <w:p>
      <w:pPr>
        <w:spacing w:after="80"/>
      </w:pPr>
      <w:r>
        <w:rPr>
          <w:rFonts w:ascii="宋体" w:hAnsi="宋体"/>
          <w:b/>
          <w:color w:val="1A1A1A"/>
          <w:sz w:val="21"/>
        </w:rPr>
        <w:t>（1）设计背景与核心挑战</w:t>
      </w:r>
    </w:p>
    <w:p>
      <w:pPr>
        <w:spacing w:after="40"/>
      </w:pPr>
    </w:p>
    <w:p>
      <w:pPr>
        <w:spacing w:after="80"/>
      </w:pPr>
      <w:r>
        <w:rPr>
          <w:rFonts w:ascii="宋体" w:hAnsi="宋体"/>
          <w:color w:val="1A1A1A"/>
          <w:sz w:val="21"/>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40"/>
      </w:pPr>
    </w:p>
    <w:p>
      <w:pPr>
        <w:spacing w:after="80"/>
      </w:pPr>
      <w:r>
        <w:rPr>
          <w:rFonts w:ascii="宋体" w:hAnsi="宋体"/>
          <w:color w:val="1A1A1A"/>
          <w:sz w:val="21"/>
        </w:rPr>
        <w:t>第一，多频率异构数据实时融合难题。系统同时接入6路25Hz工业相机、2路100Hz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40"/>
      </w:pPr>
    </w:p>
    <w:p>
      <w:pPr>
        <w:spacing w:after="80"/>
      </w:pPr>
      <w:r>
        <w:rPr>
          <w:rFonts w:ascii="宋体" w:hAnsi="宋体"/>
          <w:b/>
          <w:color w:val="1A1A1A"/>
          <w:sz w:val="21"/>
        </w:rPr>
        <w:t>（2）三层软件架构</w:t>
      </w:r>
    </w:p>
    <w:p>
      <w:pPr>
        <w:spacing w:after="40"/>
      </w:pPr>
    </w:p>
    <w:p>
      <w:pPr>
        <w:spacing w:after="80"/>
      </w:pPr>
      <w:r>
        <w:rPr>
          <w:rFonts w:ascii="宋体" w:hAnsi="宋体"/>
          <w:color w:val="1A1A1A"/>
          <w:sz w:val="21"/>
        </w:rPr>
        <w:t>针对上述挑战，本文设计了边缘计算层、通信层和云平台层三层协同的软件架构：</w:t>
      </w:r>
    </w:p>
    <w:p>
      <w:pPr>
        <w:spacing w:after="40"/>
      </w:pPr>
    </w:p>
    <w:p>
      <w:pPr>
        <w:spacing w:before="80" w:after="80"/>
        <w:ind w:left="567" w:right="283"/>
        <w:shd w:val="clear" w:color="auto" w:fill="F2F2F2"/>
      </w:pPr>
      <w:r>
        <w:rPr>
          <w:rFonts w:ascii="Courier New" w:hAnsi="Courier New"/>
          <w:color w:val="272727"/>
          <w:sz w:val="18"/>
        </w:rPr>
        <w:t>┌─────────────────────────────────────────────────────────────┐</w:t>
        <w:br/>
        <w:t>│                    云平台层（远程）                           │</w:t>
        <w:br/>
        <w:t>│  大数据存储 / 线路健康知识图谱 / AI模型训练与迭代             │</w:t>
        <w:br/>
        <w:t>│  养护决策引擎 / 数字孪生映射 / 远程监控                      │</w:t>
        <w:br/>
        <w:t>└────────────────────────────┬────────────────────────────────┘</w:t>
        <w:br/>
        <w:t xml:space="preserve">                             │ 4G/5G 移动网络（双向数据通道）</w:t>
        <w:br/>
        <w:t xml:space="preserve">                             │ 模型推送↑ / 数据回传↓</w:t>
        <w:br/>
        <w:t>┌────────────────────────────┴────────────────────────────────┐</w:t>
        <w:br/>
        <w:t>│                   通信层（三网物理隔离）                       │</w:t>
        <w:br/>
        <w:t>│  EtherCAT控制网（100Mbps / 硬实时≤1ms）                      │</w:t>
        <w:br/>
        <w:t>│    → 伺服驱动指令下发 / 驱动器状态反馈 / 急停指令             │</w:t>
        <w:br/>
        <w:t>│  千兆采集网（1000Mbps / 软实时≤10ms）                        │</w:t>
        <w:br/>
        <w:t>│    → 6路相机+2路激光原始数据高速传输                          │</w:t>
        <w:br/>
        <w:t>│  4G/5G传输网（50~500Mbps / 非实时秒级）                      │</w:t>
        <w:br/>
        <w:t>│    → 融合判定结果 / 设备状态 / AI模型推送                     │</w:t>
        <w:br/>
        <w:t>└────────────────────────────┬────────────────────────────────┘</w:t>
        <w:br/>
        <w:t xml:space="preserve">                             │ 实时数据流（PCIe直连）</w:t>
        <w:br/>
        <w:t>┌────────────────────────────┴────────────────────────────────┐</w:t>
        <w:br/>
        <w:t>│                   边缘计算层（本地实时）                       │</w:t>
        <w:br/>
        <w:t>│  NVIDIA Jetson AGX Orin：                                   │</w:t>
        <w:br/>
        <w:t>│    多传感器协同采集控制 / AI推理引擎 / 三级融合判定             │</w:t>
        <w:br/>
        <w:t>│    实时融合处理流水线 / 本地SSD存储 / 秒级报警输出            │</w:t>
        <w:br/>
        <w:t>└─────────────────────────────────────────────────────────────┘</w:t>
        <w:br/>
      </w:r>
    </w:p>
    <w:p>
      <w:pPr>
        <w:spacing w:after="40"/>
      </w:pPr>
    </w:p>
    <w:p>
      <w:pPr>
        <w:spacing w:after="80"/>
      </w:pPr>
      <w:r>
        <w:rPr>
          <w:rFonts w:ascii="宋体" w:hAnsi="宋体"/>
          <w:color w:val="1A1A1A"/>
          <w:sz w:val="21"/>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40"/>
      </w:pPr>
    </w:p>
    <w:p>
      <w:pPr>
        <w:spacing w:after="80"/>
      </w:pPr>
      <w:r>
        <w:rPr>
          <w:rFonts w:ascii="宋体" w:hAnsi="宋体"/>
          <w:b/>
          <w:color w:val="1A1A1A"/>
          <w:sz w:val="21"/>
        </w:rPr>
        <w:t>（3）边缘计算层核心能力</w:t>
      </w:r>
    </w:p>
    <w:p>
      <w:pPr>
        <w:spacing w:after="40"/>
      </w:pPr>
    </w:p>
    <w:p>
      <w:pPr>
        <w:spacing w:after="80"/>
      </w:pPr>
      <w:r>
        <w:rPr>
          <w:rFonts w:ascii="宋体" w:hAnsi="宋体"/>
          <w:color w:val="1A1A1A"/>
          <w:sz w:val="21"/>
        </w:rPr>
        <w:t>边缘计算层承载系统全部实时性功能，是软件系统的核心：</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核心能力</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多传感器协同采集控制</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统一帧触发、Frame ID管理、里程精确绑定、三码对齐</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实时AI推理引擎</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YOLOv8目标检测/语义分割，TensorRT INT8加速，≤25ms/帧</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三级融合判定流水线</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时间对齐→空间关联→判级融合，全流程≤10ms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边缘存储与断网保障</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检测数据实时写入本地SSD，网络中断不丢数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秒级报警输出</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缺陷判定后立即触发本地声光报警和云端推送</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任务自主控制</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一键启停/定速巡航/定点返航/里程到达自动返航</w:t>
            </w:r>
          </w:p>
        </w:tc>
      </w:tr>
    </w:tbl>
    <w:p/>
    <w:p>
      <w:pPr>
        <w:spacing w:after="40"/>
      </w:pPr>
    </w:p>
    <w:p>
      <w:pPr>
        <w:spacing w:after="80"/>
      </w:pPr>
      <w:r>
        <w:rPr>
          <w:rFonts w:ascii="宋体" w:hAnsi="宋体"/>
          <w:b/>
          <w:color w:val="1A1A1A"/>
          <w:sz w:val="21"/>
        </w:rPr>
        <w:t>（4）软件系统关键性能指标</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指标</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设计值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单帧端到端处理延迟</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≤25ms（采集→融合→输出）</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AI推理帧率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25fps（实际工作）/ 40fps（理论峰值）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融合流水线处理延迟</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≤10ms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系统可用性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≥99.9%</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最大并发融合通道</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8路（6相机+2激光并行）</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滑动窗口数据缓存占用</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≤8GB</w:t>
            </w:r>
          </w:p>
        </w:tc>
      </w:tr>
    </w:tbl>
    <w:p/>
    <w:p>
      <w:pPr>
        <w:spacing w:after="40"/>
      </w:pPr>
    </w:p>
    <w:p>
      <w:pPr>
        <w:pStyle w:val="Heading2"/>
      </w:pPr>
      <w:r>
        <w:t>4.2 数据采集与同步控制</w:t>
      </w:r>
    </w:p>
    <w:p>
      <w:pPr>
        <w:spacing w:after="40"/>
      </w:pPr>
    </w:p>
    <w:p>
      <w:pPr>
        <w:spacing w:after="80"/>
      </w:pPr>
      <w:r>
        <w:rPr>
          <w:rFonts w:ascii="宋体" w:hAnsi="宋体"/>
          <w:b/>
          <w:color w:val="1A1A1A"/>
          <w:sz w:val="21"/>
        </w:rPr>
        <w:t>（1）帧驱动型统一触发采集机制</w:t>
      </w:r>
    </w:p>
    <w:p>
      <w:pPr>
        <w:spacing w:after="40"/>
      </w:pPr>
    </w:p>
    <w:p>
      <w:pPr>
        <w:spacing w:after="80"/>
      </w:pPr>
      <w:r>
        <w:rPr>
          <w:rFonts w:ascii="宋体" w:hAnsi="宋体"/>
          <w:color w:val="1A1A1A"/>
          <w:sz w:val="21"/>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40"/>
      </w:pPr>
    </w:p>
    <w:p>
      <w:pPr>
        <w:spacing w:after="80"/>
      </w:pPr>
      <w:r>
        <w:rPr>
          <w:rFonts w:ascii="宋体" w:hAnsi="宋体"/>
          <w:color w:val="1A1A1A"/>
          <w:sz w:val="21"/>
        </w:rPr>
        <w:t>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spacing w:after="40"/>
      </w:pPr>
    </w:p>
    <w:p>
      <w:pPr>
        <w:spacing w:after="80"/>
      </w:pPr>
      <w:r>
        <w:rPr>
          <w:rFonts w:ascii="宋体" w:hAnsi="宋体"/>
          <w:color w:val="1A1A1A"/>
          <w:sz w:val="21"/>
        </w:rPr>
        <w:t>采集帧率配置：相机25fps（20~25fps软件可调）、激光100Hz（即每秒100线扫描）、陀螺仪200Hz（每秒200次姿态采样）。三组频率之间通过融合流水线做时间轴对齐处理（详见4.4节）。</w:t>
      </w:r>
    </w:p>
    <w:p>
      <w:pPr>
        <w:spacing w:after="40"/>
      </w:pPr>
    </w:p>
    <w:p>
      <w:pPr>
        <w:spacing w:after="80"/>
      </w:pPr>
      <w:r>
        <w:rPr>
          <w:rFonts w:ascii="宋体" w:hAnsi="宋体"/>
          <w:b/>
          <w:color w:val="1A1A1A"/>
          <w:sz w:val="21"/>
        </w:rPr>
        <w:t>（2）Frame ID与里程精确绑定</w:t>
      </w:r>
    </w:p>
    <w:p>
      <w:pPr>
        <w:spacing w:after="40"/>
      </w:pPr>
    </w:p>
    <w:p>
      <w:pPr>
        <w:spacing w:after="80"/>
      </w:pPr>
      <w:r>
        <w:rPr>
          <w:rFonts w:ascii="宋体" w:hAnsi="宋体"/>
          <w:color w:val="1A1A1A"/>
          <w:sz w:val="21"/>
        </w:rPr>
        <w:t>Frame ID是贯穿整个系统的核心索引单元，是多传感器数据融合的纽带。</w:t>
      </w:r>
    </w:p>
    <w:p>
      <w:pPr>
        <w:spacing w:after="40"/>
      </w:pPr>
    </w:p>
    <w:p>
      <w:pPr>
        <w:spacing w:after="80"/>
      </w:pPr>
      <w:r>
        <w:rPr>
          <w:rFonts w:ascii="宋体" w:hAnsi="宋体"/>
          <w:color w:val="1A1A1A"/>
          <w:sz w:val="21"/>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40"/>
      </w:pPr>
    </w:p>
    <w:p>
      <w:pPr>
        <w:spacing w:after="80"/>
      </w:pPr>
      <w:r>
        <w:rPr>
          <w:rFonts w:ascii="宋体" w:hAnsi="宋体"/>
          <w:color w:val="1A1A1A"/>
          <w:sz w:val="21"/>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40"/>
      </w:pPr>
    </w:p>
    <w:p>
      <w:pPr>
        <w:spacing w:after="80"/>
      </w:pPr>
      <w:r>
        <w:rPr>
          <w:rFonts w:ascii="宋体" w:hAnsi="宋体"/>
          <w:color w:val="1A1A1A"/>
          <w:sz w:val="21"/>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40"/>
      </w:pPr>
    </w:p>
    <w:p>
      <w:pPr>
        <w:spacing w:before="80" w:after="80"/>
        <w:ind w:left="567" w:right="283"/>
        <w:shd w:val="clear" w:color="auto" w:fill="F2F2F2"/>
      </w:pPr>
      <w:r>
        <w:rPr>
          <w:rFonts w:ascii="Courier New" w:hAnsi="Courier New"/>
          <w:color w:val="272727"/>
          <w:sz w:val="18"/>
        </w:rPr>
        <w:t>K = L_standard / N_encoder</w:t>
        <w:br/>
        <w:t>其中：L_standard 为标准轨段长度（mm），N_encoder 为编码器在通过该轨段时的累计脉冲数</w:t>
        <w:br/>
      </w:r>
    </w:p>
    <w:p>
      <w:pPr>
        <w:spacing w:after="40"/>
      </w:pPr>
    </w:p>
    <w:p>
      <w:pPr>
        <w:spacing w:after="80"/>
      </w:pPr>
      <w:r>
        <w:rPr>
          <w:rFonts w:ascii="宋体" w:hAnsi="宋体"/>
          <w:color w:val="1A1A1A"/>
          <w:sz w:val="21"/>
        </w:rPr>
        <w:t>标定后，任意Frame ID对应的实际里程 = K × N_encoder_at_this_frame。</w:t>
      </w:r>
    </w:p>
    <w:p>
      <w:pPr>
        <w:spacing w:after="40"/>
      </w:pPr>
    </w:p>
    <w:p>
      <w:pPr>
        <w:spacing w:after="80"/>
      </w:pPr>
      <w:r>
        <w:rPr>
          <w:rFonts w:ascii="宋体" w:hAnsi="宋体"/>
          <w:b/>
          <w:color w:val="1A1A1A"/>
          <w:sz w:val="21"/>
        </w:rPr>
        <w:t>（3）三码对齐机制</w:t>
      </w:r>
    </w:p>
    <w:p>
      <w:pPr>
        <w:spacing w:after="40"/>
      </w:pPr>
    </w:p>
    <w:p>
      <w:pPr>
        <w:spacing w:after="80"/>
      </w:pPr>
      <w:r>
        <w:rPr>
          <w:rFonts w:ascii="宋体" w:hAnsi="宋体"/>
          <w:color w:val="1A1A1A"/>
          <w:sz w:val="21"/>
        </w:rPr>
        <w:t>帧编号（Frame ID）+ 里程坐标 + UTC时间戳构成三码对齐，是实现多传感器数据融合的核心技术基础。</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对齐要素</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定义</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精度</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数据来源</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Frame ID</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全局唯一递增编号，每触发一次采集递增一次</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每帧唯一，不重复</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工控机本地计数器（64位）</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里程坐标</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Frame ID对应的机器人实际行走距离（mm）</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±5mm（经轮端标定）</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伺服电机内置编码器（EtherCAT总线上报）</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UTC时间戳</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帧采集瞬间的UTC绝对时间，格式：YYYY-MM-DD HH:MM:SS.mmm</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±0.1ms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GPS PPS时钟源</w:t>
            </w:r>
          </w:p>
        </w:tc>
      </w:tr>
    </w:tbl>
    <w:p/>
    <w:p>
      <w:pPr>
        <w:spacing w:after="40"/>
      </w:pPr>
    </w:p>
    <w:p>
      <w:pPr>
        <w:spacing w:after="80"/>
      </w:pPr>
      <w:r>
        <w:rPr>
          <w:rFonts w:ascii="宋体" w:hAnsi="宋体"/>
          <w:color w:val="1A1A1A"/>
          <w:sz w:val="21"/>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40"/>
      </w:pPr>
    </w:p>
    <w:p>
      <w:pPr>
        <w:spacing w:after="80"/>
      </w:pPr>
      <w:r>
        <w:rPr>
          <w:rFonts w:ascii="宋体" w:hAnsi="宋体"/>
          <w:b/>
          <w:color w:val="1A1A1A"/>
          <w:sz w:val="21"/>
        </w:rPr>
        <w:t>（4）双时钟源冗余同步</w:t>
      </w:r>
    </w:p>
    <w:p>
      <w:pPr>
        <w:spacing w:after="40"/>
      </w:pPr>
    </w:p>
    <w:p>
      <w:pPr>
        <w:spacing w:after="80"/>
      </w:pPr>
      <w:r>
        <w:rPr>
          <w:rFonts w:ascii="宋体" w:hAnsi="宋体"/>
          <w:color w:val="1A1A1A"/>
          <w:sz w:val="21"/>
        </w:rPr>
        <w:t>时间戳精度依赖可靠的高精度时钟同步。本文采用双时钟源冗余同步机制：</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时钟源</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技术方案</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同步精度</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有效条件</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主时钟源</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GPS PPS（秒脉冲）</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±0.1ms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户外/天空视野良好</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备份时钟源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IEEE 1588 PTP（精确时间协议）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±0.5ms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GNSS不可用时（隧道/室内/强遮蔽）</w:t>
            </w:r>
          </w:p>
        </w:tc>
      </w:tr>
    </w:tbl>
    <w:p/>
    <w:p>
      <w:pPr>
        <w:spacing w:after="40"/>
      </w:pPr>
    </w:p>
    <w:p>
      <w:pPr>
        <w:spacing w:after="80"/>
      </w:pPr>
      <w:r>
        <w:rPr>
          <w:rFonts w:ascii="宋体" w:hAnsi="宋体"/>
          <w:color w:val="1A1A1A"/>
          <w:sz w:val="21"/>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40"/>
      </w:pPr>
    </w:p>
    <w:p>
      <w:pPr>
        <w:spacing w:after="80"/>
      </w:pPr>
      <w:r>
        <w:rPr>
          <w:rFonts w:ascii="宋体" w:hAnsi="宋体"/>
          <w:b/>
          <w:color w:val="1A1A1A"/>
          <w:sz w:val="21"/>
        </w:rPr>
        <w:t>（5）数据存储架构</w:t>
      </w:r>
    </w:p>
    <w:p>
      <w:pPr>
        <w:spacing w:after="40"/>
      </w:pPr>
    </w:p>
    <w:p>
      <w:pPr>
        <w:spacing w:after="80"/>
      </w:pPr>
      <w:r>
        <w:rPr>
          <w:rFonts w:ascii="宋体" w:hAnsi="宋体"/>
          <w:color w:val="1A1A1A"/>
          <w:sz w:val="21"/>
        </w:rPr>
        <w:t>工控机本地存储采用分层设计：</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存储介质</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容量</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用途</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256GB NVMe SSD</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系统盘</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操作系统、应用程序</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2TB SSD</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数据盘</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检测数据（按任务目录组织）</w:t>
            </w:r>
          </w:p>
        </w:tc>
      </w:tr>
    </w:tbl>
    <w:p/>
    <w:p>
      <w:pPr>
        <w:spacing w:after="40"/>
      </w:pPr>
    </w:p>
    <w:p>
      <w:pPr>
        <w:spacing w:after="80"/>
      </w:pPr>
      <w:r>
        <w:rPr>
          <w:rFonts w:ascii="宋体" w:hAnsi="宋体"/>
          <w:color w:val="1A1A1A"/>
          <w:sz w:val="21"/>
        </w:rPr>
        <w:t>单次任务（2小时/6km）数据量：</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数据类型</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存储格式</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单次任务数据量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2D图像流（原始+压缩）</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JPEG（8:1压缩）</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~81GB</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3D点云流</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CSV（TaskID_LaserID_FrameID.csv）</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~28GB</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姿态参数流</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数据库（SQLite）</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~100MB</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AI判定结果</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JSON结构化</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~500MB</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**合计**</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**~110GB/次**</w:t>
            </w:r>
          </w:p>
        </w:tc>
      </w:tr>
    </w:tbl>
    <w:p/>
    <w:p>
      <w:pPr>
        <w:spacing w:after="40"/>
      </w:pPr>
    </w:p>
    <w:p>
      <w:pPr>
        <w:spacing w:after="80"/>
      </w:pPr>
      <w:r>
        <w:rPr>
          <w:rFonts w:ascii="宋体" w:hAnsi="宋体"/>
          <w:color w:val="1A1A1A"/>
          <w:sz w:val="21"/>
        </w:rPr>
        <w:t>云端同步采用4G/5G移动网络，压缩数据包分批上传，网络中断时工控机本地缓存（可缓存至少72小时任务数据），网络恢复后自动续传，确保云端数据完整性。</w:t>
      </w:r>
    </w:p>
    <w:p>
      <w:pPr>
        <w:spacing w:after="40"/>
      </w:pPr>
    </w:p>
    <w:p>
      <w:pPr>
        <w:pStyle w:val="Heading2"/>
      </w:pPr>
      <w:r>
        <w:t>4.3 AI推理引擎架构</w:t>
      </w:r>
    </w:p>
    <w:p>
      <w:pPr>
        <w:spacing w:after="40"/>
      </w:pPr>
    </w:p>
    <w:p>
      <w:pPr>
        <w:spacing w:after="80"/>
      </w:pPr>
      <w:r>
        <w:rPr>
          <w:rFonts w:ascii="宋体" w:hAnsi="宋体"/>
          <w:b/>
          <w:color w:val="1A1A1A"/>
          <w:sz w:val="21"/>
        </w:rPr>
        <w:t>（1）边缘AI推理的技术选型</w:t>
      </w:r>
    </w:p>
    <w:p>
      <w:pPr>
        <w:spacing w:after="40"/>
      </w:pPr>
    </w:p>
    <w:p>
      <w:pPr>
        <w:spacing w:after="80"/>
      </w:pPr>
      <w:r>
        <w:rPr>
          <w:rFonts w:ascii="宋体" w:hAnsi="宋体"/>
          <w:color w:val="1A1A1A"/>
          <w:sz w:val="21"/>
        </w:rPr>
        <w:t>将AI推理部署在边缘工控机而非云端，是本系统的关键设计决策。</w:t>
      </w:r>
    </w:p>
    <w:p>
      <w:pPr>
        <w:spacing w:after="40"/>
      </w:pPr>
    </w:p>
    <w:p>
      <w:pPr>
        <w:spacing w:after="80"/>
      </w:pPr>
      <w:r>
        <w:rPr>
          <w:rFonts w:ascii="宋体" w:hAnsi="宋体"/>
          <w:color w:val="1A1A1A"/>
          <w:sz w:val="21"/>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40"/>
      </w:pPr>
    </w:p>
    <w:p>
      <w:pPr>
        <w:spacing w:after="80"/>
      </w:pPr>
      <w:r>
        <w:rPr>
          <w:rFonts w:ascii="宋体" w:hAnsi="宋体"/>
          <w:color w:val="1A1A1A"/>
          <w:sz w:val="21"/>
        </w:rPr>
        <w:t>边缘推理的核心优势：推理延迟仅毫秒级（≤25ms），满足实时报警要求；原始数据不出工控机，隐私安全合规；只需上传结构化判定结果（JSON，每帧约1KB），流量消耗降低4个数量级。</w:t>
      </w:r>
    </w:p>
    <w:p>
      <w:pPr>
        <w:spacing w:after="40"/>
      </w:pPr>
    </w:p>
    <w:p>
      <w:pPr>
        <w:spacing w:after="80"/>
      </w:pPr>
      <w:r>
        <w:rPr>
          <w:rFonts w:ascii="宋体" w:hAnsi="宋体"/>
          <w:color w:val="1A1A1A"/>
          <w:sz w:val="21"/>
        </w:rPr>
        <w:t>本文选用NVIDIA Jetson AGX Orin 64GB作为边缘推理平台：32 TOPS INT8算力，12核ARM Cortex-A78AE CPU，64GB LPDDR5内存，支持CUDA/TensorRT/ONNX Runtime完整开发生态，工业级设计（工作温度-40°C~85°C）。</w:t>
      </w:r>
    </w:p>
    <w:p>
      <w:pPr>
        <w:spacing w:after="40"/>
      </w:pPr>
    </w:p>
    <w:p>
      <w:pPr>
        <w:spacing w:after="80"/>
      </w:pPr>
      <w:r>
        <w:rPr>
          <w:rFonts w:ascii="宋体" w:hAnsi="宋体"/>
          <w:b/>
          <w:color w:val="1A1A1A"/>
          <w:sz w:val="21"/>
        </w:rPr>
        <w:t>（2）推理流水线设计</w:t>
      </w:r>
    </w:p>
    <w:p>
      <w:pPr>
        <w:spacing w:after="40"/>
      </w:pPr>
    </w:p>
    <w:p>
      <w:pPr>
        <w:spacing w:after="80"/>
      </w:pPr>
      <w:r>
        <w:rPr>
          <w:rFonts w:ascii="宋体" w:hAnsi="宋体"/>
          <w:color w:val="1A1A1A"/>
          <w:sz w:val="21"/>
        </w:rPr>
        <w:t>全流程采用流水线架构，各环节流水执行、环环相扣，CPU与GPU并行协同：</w:t>
      </w:r>
    </w:p>
    <w:p>
      <w:pPr>
        <w:spacing w:after="40"/>
      </w:pPr>
    </w:p>
    <w:p>
      <w:pPr>
        <w:spacing w:before="80" w:after="80"/>
        <w:ind w:left="567" w:right="283"/>
        <w:shd w:val="clear" w:color="auto" w:fill="F2F2F2"/>
      </w:pPr>
      <w:r>
        <w:rPr>
          <w:rFonts w:ascii="Courier New" w:hAnsi="Courier New"/>
          <w:color w:val="272727"/>
          <w:sz w:val="18"/>
        </w:rPr>
        <w:t>相机帧触发 ──→ 图像接收 ──→ 预处理 ──→ GPU推理 ──→ 后处理 ──→ 融合判定 ──→ JSON输出</w:t>
        <w:br/>
        <w:t xml:space="preserve">                                      ↑</w:t>
        <w:br/>
        <w:t xml:space="preserve">                              CPU并行准备下一帧</w:t>
        <w:br/>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流水线环节</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处理内容</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处理时间</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并行性</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图像采集</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相机曝光→千兆网上传→工控机接收</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由相机硬件控制</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预处理</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图像归一化、尺寸缩放（→640×640）、格式转换（→Tensor）</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CPU执行</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GPU推理</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YOLOv8目标检测/语义分割（TensorRT INT8加速）</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15ms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GPU执行</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后处理</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NMS去重、阈值过滤、边界框坐标变换、格式封装</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3ms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CPU执行</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融合判定</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三流数据融合、综合判级、JSON封装</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CPU执行</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**端到端**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**采集到输出融合结果**</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**≤25ms**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**CPU+GPU协同**</w:t>
            </w:r>
          </w:p>
        </w:tc>
      </w:tr>
    </w:tbl>
    <w:p/>
    <w:p>
      <w:pPr>
        <w:spacing w:after="40"/>
      </w:pPr>
    </w:p>
    <w:p>
      <w:pPr>
        <w:spacing w:after="80"/>
      </w:pPr>
      <w:r>
        <w:rPr>
          <w:rFonts w:ascii="宋体" w:hAnsi="宋体"/>
          <w:color w:val="1A1A1A"/>
          <w:sz w:val="21"/>
        </w:rPr>
        <w:t>关键并行化设计：CPU在GPU执行当前帧推理的同时，准备下一帧的预处理操作（图像接收→归一化），使帧间处理时间重叠，消除CPU和GPU之间的空闲等待周期，实现持续流水线吞吐。</w:t>
      </w:r>
    </w:p>
    <w:p>
      <w:pPr>
        <w:spacing w:after="40"/>
      </w:pPr>
    </w:p>
    <w:p>
      <w:pPr>
        <w:spacing w:after="80"/>
      </w:pPr>
      <w:r>
        <w:rPr>
          <w:rFonts w:ascii="宋体" w:hAnsi="宋体"/>
          <w:b/>
          <w:color w:val="1A1A1A"/>
          <w:sz w:val="21"/>
        </w:rPr>
        <w:t>（3）AI检测模型体系</w:t>
      </w:r>
    </w:p>
    <w:p>
      <w:pPr>
        <w:spacing w:after="40"/>
      </w:pPr>
    </w:p>
    <w:p>
      <w:pPr>
        <w:spacing w:after="80"/>
      </w:pPr>
      <w:r>
        <w:rPr>
          <w:rFonts w:ascii="宋体" w:hAnsi="宋体"/>
          <w:color w:val="1A1A1A"/>
          <w:sz w:val="21"/>
        </w:rPr>
        <w:t>针对8项检测功能，系统部署了覆盖目标检测、语义分割、点云分析和时序分析的完整AI模型体系：</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检测功能</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模型架构</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模型类型</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核心任务</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输出</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轨面缺陷检测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YOLOv8m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目标检测+语义分割</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像素级裂纹/掉块/凹陷识别</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像素区域坐标、缺陷类型、损伤等级、置信度</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道钉/螺栓检测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YOLOv8s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目标检测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逐帧螺栓状态识别</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缺失/松动/歪斜数量、帧内位置</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3D钢轨轮廓检测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PointNet++类</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点云回归</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廓形拟合与磨耗计算</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磨耗量(mm)、横移量(mm)、廓形偏差(mm)</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钢轨波磨检测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频谱分析CNN</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时序频谱分析</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波磨波长/波深提取</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波长(mm)、波深(mm)、分布里程</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钢轨焊缝检测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YOLOv8m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图像分类+缺陷分割</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焊缝缺陷识别与分级</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缺陷类型、等级(1~3)、里程位置</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多传感器融合模型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回归模型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左右轨距值融合计算</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轨距值(mm)、偏差值(mm)、超限标记</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姿态积分+阈值判定</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信号处理</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侧倾角积分计算水平偏差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水平偏差(mm)、侧倾角(°)</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高低检测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姿态积分+滤波+阈值判定</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信号处理</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俯仰角积分计算高低不平顺</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高低偏差(mm)、长波/短波偏差(mm)</w:t>
            </w:r>
          </w:p>
        </w:tc>
      </w:tr>
    </w:tbl>
    <w:p/>
    <w:p>
      <w:pPr>
        <w:spacing w:after="40"/>
      </w:pPr>
    </w:p>
    <w:p>
      <w:pPr>
        <w:spacing w:after="80"/>
      </w:pPr>
      <w:r>
        <w:rPr>
          <w:rFonts w:ascii="宋体" w:hAnsi="宋体"/>
          <w:b/>
          <w:color w:val="1A1A1A"/>
          <w:sz w:val="21"/>
        </w:rPr>
        <w:t>（4）TensorRT推理加速技术</w:t>
      </w:r>
    </w:p>
    <w:p>
      <w:pPr>
        <w:spacing w:after="40"/>
      </w:pPr>
    </w:p>
    <w:p>
      <w:pPr>
        <w:spacing w:after="80"/>
      </w:pPr>
      <w:r>
        <w:rPr>
          <w:rFonts w:ascii="宋体" w:hAnsi="宋体"/>
          <w:color w:val="1A1A1A"/>
          <w:sz w:val="21"/>
        </w:rPr>
        <w:t>AI模型以ONNX格式训练，以TensorRT引擎部署。TensorRT对模型图进行多级优化：</w:t>
      </w:r>
    </w:p>
    <w:p>
      <w:pPr>
        <w:spacing w:after="40"/>
      </w:pPr>
    </w:p>
    <w:p>
      <w:pPr>
        <w:spacing w:after="80"/>
      </w:pPr>
      <w:r>
        <w:rPr>
          <w:rFonts w:ascii="宋体" w:hAnsi="宋体"/>
          <w:color w:val="1A1A1A"/>
          <w:sz w:val="21"/>
        </w:rPr>
        <w:t>层融合（Layer Fusion）：将连续的卷积(Conv)、批归一化(BN)和激活(ReLU)操作融合为单一CBR（Conv+BN+ReLU）模块，大幅减少GPU内核调用次数和显存带宽压力。实验测得层融合使推理延迟降低约30%（15ms→10ms）。</w:t>
      </w:r>
    </w:p>
    <w:p>
      <w:pPr>
        <w:spacing w:after="40"/>
      </w:pPr>
    </w:p>
    <w:p>
      <w:pPr>
        <w:spacing w:after="80"/>
      </w:pPr>
      <w:r>
        <w:rPr>
          <w:rFonts w:ascii="宋体" w:hAnsi="宋体"/>
          <w:color w:val="1A1A1A"/>
          <w:sz w:val="21"/>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40"/>
      </w:pPr>
    </w:p>
    <w:p>
      <w:pPr>
        <w:spacing w:after="80"/>
      </w:pPr>
      <w:r>
        <w:rPr>
          <w:rFonts w:ascii="宋体" w:hAnsi="宋体"/>
          <w:color w:val="1A1A1A"/>
          <w:sz w:val="21"/>
        </w:rPr>
        <w:t>动态张量显存管理：为每个输入形状动态分配最优GPU显存，消除静态显存分配带来的碎片和浪费，提升显存利用率，支持更大batch size并发推理。</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优化手段</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核心技术</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实测效果</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层融合</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Conv+BN+ReLU→CBR</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延迟-30%（15ms→10ms）</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INT8量化</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PTQ校准量化</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吞吐+2~3倍</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动态显存</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动态shape优化</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支持更大batch</w:t>
            </w:r>
          </w:p>
        </w:tc>
      </w:tr>
    </w:tbl>
    <w:p/>
    <w:p>
      <w:pPr>
        <w:spacing w:after="40"/>
      </w:pPr>
    </w:p>
    <w:p>
      <w:pPr>
        <w:spacing w:after="80"/>
      </w:pPr>
      <w:r>
        <w:rPr>
          <w:rFonts w:ascii="宋体" w:hAnsi="宋体"/>
          <w:b/>
          <w:color w:val="1A1A1A"/>
          <w:sz w:val="21"/>
        </w:rPr>
        <w:t>（5）AI决策可解释性设计</w:t>
      </w:r>
    </w:p>
    <w:p>
      <w:pPr>
        <w:spacing w:after="40"/>
      </w:pPr>
    </w:p>
    <w:p>
      <w:pPr>
        <w:spacing w:after="80"/>
      </w:pPr>
      <w:r>
        <w:rPr>
          <w:rFonts w:ascii="宋体" w:hAnsi="宋体"/>
          <w:color w:val="1A1A1A"/>
          <w:sz w:val="21"/>
        </w:rPr>
        <w:t>本系统坚持"每项AI判定必须附带完整判定依据"的设计原则，输出不是黑箱结论，而是可追溯的决策链：</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输出字段</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用户价值</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缺陷类型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裂纹/掉块/松动/磨耗等</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知道"是什么问题"</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损伤等级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1级（轻微）/ 2级（明显）/ 3级（严重）</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知道"有多严重"</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置信度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0%~100%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知道"AI有多确定"</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判定依据-图像</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缺陷像素区域坐标 `(x1, y1, x2, y2)`</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知道"依据哪块图像"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判定依据-轮廓</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廓形偏差量 `Δ(mm)`</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知道"偏差了多少"</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判定依据-姿态</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姿态角变化量 `Δθ(°)`</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知道"姿态有何异常"</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融合来源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各维度置信度 `(C_2D, C_3D, C_IMU)`</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知道"数据是否可靠"</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历史对比</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与上次检测结果的对比Delta</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知道"相比上次有何变化"</w:t>
            </w:r>
          </w:p>
        </w:tc>
      </w:tr>
    </w:tbl>
    <w:p/>
    <w:p>
      <w:pPr>
        <w:spacing w:after="40"/>
      </w:pPr>
    </w:p>
    <w:p>
      <w:pPr>
        <w:pStyle w:val="Heading2"/>
      </w:pPr>
      <w:r>
        <w:t>4.4 多维数据融合算法</w:t>
      </w:r>
    </w:p>
    <w:p>
      <w:pPr>
        <w:spacing w:after="40"/>
      </w:pPr>
    </w:p>
    <w:p>
      <w:pPr>
        <w:spacing w:after="80"/>
      </w:pPr>
      <w:r>
        <w:rPr>
          <w:rFonts w:ascii="宋体" w:hAnsi="宋体"/>
          <w:b/>
          <w:color w:val="1A1A1A"/>
          <w:sz w:val="21"/>
        </w:rPr>
        <w:t>（1）融合算法的核心创新点</w:t>
      </w:r>
    </w:p>
    <w:p>
      <w:pPr>
        <w:spacing w:after="40"/>
      </w:pPr>
    </w:p>
    <w:p>
      <w:pPr>
        <w:spacing w:after="80"/>
      </w:pPr>
      <w:r>
        <w:rPr>
          <w:rFonts w:ascii="宋体" w:hAnsi="宋体"/>
          <w:color w:val="1A1A1A"/>
          <w:sz w:val="21"/>
        </w:rPr>
        <w:t>本系统设计的融合算法包含三个核心创新点：</w:t>
      </w:r>
    </w:p>
    <w:p>
      <w:pPr>
        <w:spacing w:after="40"/>
      </w:pPr>
    </w:p>
    <w:p>
      <w:pPr>
        <w:spacing w:after="80"/>
      </w:pPr>
      <w:r>
        <w:rPr>
          <w:rFonts w:ascii="宋体" w:hAnsi="宋体"/>
          <w:b/>
          <w:color w:val="1A1A1A"/>
          <w:sz w:val="21"/>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40"/>
      </w:pPr>
    </w:p>
    <w:p>
      <w:pPr>
        <w:spacing w:after="80"/>
      </w:pPr>
      <w:r>
        <w:rPr>
          <w:rFonts w:ascii="宋体" w:hAnsi="宋体"/>
          <w:b/>
          <w:color w:val="1A1A1A"/>
          <w:sz w:val="21"/>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40"/>
      </w:pPr>
    </w:p>
    <w:p>
      <w:pPr>
        <w:spacing w:after="80"/>
      </w:pPr>
      <w:r>
        <w:rPr>
          <w:rFonts w:ascii="宋体" w:hAnsi="宋体"/>
          <w:b/>
          <w:color w:val="1A1A1A"/>
          <w:sz w:val="21"/>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40"/>
      </w:pPr>
    </w:p>
    <w:p>
      <w:pPr>
        <w:spacing w:after="80"/>
      </w:pPr>
      <w:r>
        <w:rPr>
          <w:rFonts w:ascii="宋体" w:hAnsi="宋体"/>
          <w:b/>
          <w:color w:val="1A1A1A"/>
          <w:sz w:val="21"/>
        </w:rPr>
        <w:t>（2）第一级：时间对齐（Temporal Alignment）</w:t>
      </w:r>
    </w:p>
    <w:p>
      <w:pPr>
        <w:spacing w:after="40"/>
      </w:pPr>
    </w:p>
    <w:p>
      <w:pPr>
        <w:spacing w:after="80"/>
      </w:pPr>
      <w:r>
        <w:rPr>
          <w:rFonts w:ascii="宋体" w:hAnsi="宋体"/>
          <w:color w:val="1A1A1A"/>
          <w:sz w:val="21"/>
        </w:rPr>
        <w:t>时间对齐解决的核心问题：三种传感器采样频率不同（相机25Hz/激光100Hz/陀螺仪200Hz），融合计算要求所有数据在"同一时刻"参与分析。</w:t>
      </w:r>
    </w:p>
    <w:p>
      <w:pPr>
        <w:spacing w:after="40"/>
      </w:pPr>
    </w:p>
    <w:p>
      <w:pPr>
        <w:spacing w:after="80"/>
      </w:pPr>
      <w:r>
        <w:rPr>
          <w:rFonts w:ascii="宋体" w:hAnsi="宋体"/>
          <w:color w:val="1A1A1A"/>
          <w:sz w:val="21"/>
        </w:rPr>
        <w:t>融合窗口数学定义：设融合窗口中心时刻为t，窗口宽度为W=50ms，则窗口覆盖时间范围为[t-25ms, t+25ms]。窗口内所有传感器数据点均被标记为时刻t的采集数据，参与时刻t的融合计算。</w:t>
      </w:r>
    </w:p>
    <w:p>
      <w:pPr>
        <w:spacing w:after="40"/>
      </w:pPr>
    </w:p>
    <w:p>
      <w:pPr>
        <w:spacing w:after="80"/>
      </w:pPr>
      <w:r>
        <w:rPr>
          <w:rFonts w:ascii="宋体" w:hAnsi="宋体"/>
          <w:color w:val="1A1A1A"/>
          <w:sz w:val="21"/>
        </w:rPr>
        <w:t>窗口宽度选择依据：相机帧周期为40ms（25fps），50ms窗口可完整覆盖至少一帧相机数据及其前后各5ms的上下文信息；同时激光和陀螺仪的高频采样（100Hz/200Hz）在50ms窗口内分别有4次和10次采样，足以做统计平均或内插。</w:t>
      </w:r>
    </w:p>
    <w:p>
      <w:pPr>
        <w:spacing w:after="40"/>
      </w:pPr>
    </w:p>
    <w:p>
      <w:pPr>
        <w:spacing w:after="80"/>
      </w:pPr>
      <w:r>
        <w:rPr>
          <w:rFonts w:ascii="宋体" w:hAnsi="宋体"/>
          <w:color w:val="1A1A1A"/>
          <w:sz w:val="21"/>
        </w:rPr>
        <w:t>频率自适应内插策略：</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传感器</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采样频率</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窗口内采样次数</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对齐策略</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工业相机（6路）</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25Hz（T_cam=40ms）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1次</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外触发严格同步，直接使用</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3D线激光（2路）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100Hz（T_laser=10ms）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4次</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时间加权平均，权重与窗口中心距离成反比</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200Hz（T_imu=5ms）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10次</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取窗口内算术平均值</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100Hz</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4次</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取窗口内最新值</w:t>
            </w:r>
          </w:p>
        </w:tc>
      </w:tr>
    </w:tbl>
    <w:p/>
    <w:p>
      <w:pPr>
        <w:spacing w:after="40"/>
      </w:pPr>
    </w:p>
    <w:p>
      <w:pPr>
        <w:spacing w:after="80"/>
      </w:pPr>
      <w:r>
        <w:rPr>
          <w:rFonts w:ascii="宋体" w:hAnsi="宋体"/>
          <w:color w:val="1A1A1A"/>
          <w:sz w:val="21"/>
        </w:rPr>
        <w:t>设窗口内激光第i次采样时刻为t_i，采样值为v_i，则加权平均结果为：</w:t>
      </w:r>
    </w:p>
    <w:p>
      <w:pPr>
        <w:spacing w:after="40"/>
      </w:pPr>
    </w:p>
    <w:p>
      <w:pPr>
        <w:spacing w:before="80" w:after="80"/>
        <w:ind w:left="567" w:right="283"/>
        <w:shd w:val="clear" w:color="auto" w:fill="F2F2F2"/>
      </w:pPr>
      <w:r>
        <w:rPr>
          <w:rFonts w:ascii="Courier New" w:hAnsi="Courier New"/>
          <w:color w:val="272727"/>
          <w:sz w:val="18"/>
        </w:rPr>
        <w:t>v_laser(t) = Σ(v_i × w_i) / Σ(w_i)</w:t>
        <w:br/>
        <w:t>其中：w_i = max(0, 1 - |t_i - t| / (W/2))  （线性距离反比权重）</w:t>
        <w:br/>
      </w:r>
    </w:p>
    <w:p>
      <w:pPr>
        <w:spacing w:after="40"/>
      </w:pPr>
    </w:p>
    <w:p>
      <w:pPr>
        <w:spacing w:after="80"/>
      </w:pPr>
      <w:r>
        <w:rPr>
          <w:rFonts w:ascii="宋体" w:hAnsi="宋体"/>
          <w:color w:val="1A1A1A"/>
          <w:sz w:val="21"/>
        </w:rPr>
        <w:t>时间对齐输出：对每个融合窗口中心时刻t，输出该时刻的对齐数据包：`{ FrameID(t), Timestamp(t), Mileage(t), V_2D(t), V_3D(t), V_IMU(t) }`</w:t>
      </w:r>
    </w:p>
    <w:p>
      <w:pPr>
        <w:spacing w:after="40"/>
      </w:pPr>
    </w:p>
    <w:p>
      <w:pPr>
        <w:spacing w:after="80"/>
      </w:pPr>
      <w:r>
        <w:rPr>
          <w:rFonts w:ascii="宋体" w:hAnsi="宋体"/>
          <w:b/>
          <w:color w:val="1A1A1A"/>
          <w:sz w:val="21"/>
        </w:rPr>
        <w:t>（3）第二级：空间关联（Spatial Association）</w:t>
      </w:r>
    </w:p>
    <w:p>
      <w:pPr>
        <w:spacing w:after="40"/>
      </w:pPr>
    </w:p>
    <w:p>
      <w:pPr>
        <w:spacing w:after="80"/>
      </w:pPr>
      <w:r>
        <w:rPr>
          <w:rFonts w:ascii="宋体" w:hAnsi="宋体"/>
          <w:color w:val="1A1A1A"/>
          <w:sz w:val="21"/>
        </w:rPr>
        <w:t>空间关联解决的核心问题：相机输出2D像素坐标、激光输出3D点云坐标、陀螺仪输出欧拉角——三种坐标系统完全不同，融合计算要求建立统一的空间位置描述。</w:t>
      </w:r>
    </w:p>
    <w:p>
      <w:pPr>
        <w:spacing w:after="40"/>
      </w:pPr>
    </w:p>
    <w:p>
      <w:pPr>
        <w:spacing w:after="80"/>
      </w:pPr>
      <w:r>
        <w:rPr>
          <w:rFonts w:ascii="宋体" w:hAnsi="宋体"/>
          <w:color w:val="1A1A1A"/>
          <w:sz w:val="21"/>
        </w:rPr>
        <w:t>统一空间坐标定义（以左轨为例）：</w:t>
      </w:r>
    </w:p>
    <w:p>
      <w:pPr>
        <w:spacing w:after="40"/>
      </w:pPr>
    </w:p>
    <w:p>
      <w:pPr>
        <w:spacing w:before="80" w:after="80"/>
        <w:ind w:left="567" w:right="283"/>
        <w:shd w:val="clear" w:color="auto" w:fill="F2F2F2"/>
      </w:pPr>
      <w:r>
        <w:rPr>
          <w:rFonts w:ascii="Courier New" w:hAnsi="Courier New"/>
          <w:color w:val="272727"/>
          <w:sz w:val="18"/>
        </w:rPr>
        <w:t>缺陷位置 P = (X, Y, Z)  [单位：mm]</w:t>
        <w:br/>
        <w:t xml:space="preserve">  X轴（里程方向）：P.x = FrameID对应的里程坐标（单位mm）</w:t>
        <w:br/>
        <w:t xml:space="preserve">  Y轴（轨向）：P.y = 缺陷相对于轨面中心的横向偏移（0~80mm，80mm为轨面宽度）</w:t>
        <w:br/>
        <w:t xml:space="preserve">  Z轴（垂向）：P.z = 缺陷相对于轨顶面的垂直偏移（单位mm，正值表示高于轨面）</w:t>
        <w:br/>
      </w:r>
    </w:p>
    <w:p>
      <w:pPr>
        <w:spacing w:after="40"/>
      </w:pPr>
    </w:p>
    <w:p>
      <w:pPr>
        <w:spacing w:after="80"/>
      </w:pPr>
      <w:r>
        <w:rPr>
          <w:rFonts w:ascii="宋体" w:hAnsi="宋体"/>
          <w:color w:val="1A1A1A"/>
          <w:sz w:val="21"/>
        </w:rPr>
        <w:t>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40"/>
      </w:pPr>
    </w:p>
    <w:p>
      <w:pPr>
        <w:spacing w:after="80"/>
      </w:pPr>
      <w:r>
        <w:rPr>
          <w:rFonts w:ascii="宋体" w:hAnsi="宋体"/>
          <w:color w:val="1A1A1A"/>
          <w:sz w:val="21"/>
        </w:rPr>
        <w:t>姿态角实时修正公式：当车体经过高低不平顺区段时，车体俯仰角θ_pitch不为零，会导致缺陷里程计算存在系统误差。融合算法实时接收陀螺仪姿态数据，当|θ_pitch| &gt; 0.5°时触发里程修正：</w:t>
      </w:r>
    </w:p>
    <w:p>
      <w:pPr>
        <w:spacing w:after="40"/>
      </w:pPr>
    </w:p>
    <w:p>
      <w:pPr>
        <w:spacing w:before="80" w:after="80"/>
        <w:ind w:left="567" w:right="283"/>
        <w:shd w:val="clear" w:color="auto" w:fill="F2F2F2"/>
      </w:pPr>
      <w:r>
        <w:rPr>
          <w:rFonts w:ascii="Courier New" w:hAnsi="Courier New"/>
          <w:color w:val="272727"/>
          <w:sz w:val="18"/>
        </w:rPr>
        <w:t>修正后里程 X_corrected = X_raw - L × (1 - cos(θ_pitch))</w:t>
        <w:br/>
        <w:t xml:space="preserve">                        ≈ X_raw - L × (θ_pitch² / 2)</w:t>
        <w:br/>
        <w:t>其中：X_raw 为原始里程读数，L为传感器至轨面高度（约180mm），θ_pitch单位为弧度</w:t>
        <w:br/>
      </w:r>
    </w:p>
    <w:p>
      <w:pPr>
        <w:spacing w:after="40"/>
      </w:pPr>
    </w:p>
    <w:p>
      <w:pPr>
        <w:spacing w:after="80"/>
      </w:pPr>
      <w:r>
        <w:rPr>
          <w:rFonts w:ascii="宋体" w:hAnsi="宋体"/>
          <w:color w:val="1A1A1A"/>
          <w:sz w:val="21"/>
        </w:rPr>
        <w:t>以L=180mm、θ_pitch=1°（≈0.01745rad）为例，修正量约为0.027mm，可消除因车体倾斜导致的里程系统性偏差。</w:t>
      </w:r>
    </w:p>
    <w:p>
      <w:pPr>
        <w:spacing w:after="40"/>
      </w:pPr>
    </w:p>
    <w:p>
      <w:pPr>
        <w:spacing w:after="80"/>
      </w:pPr>
      <w:r>
        <w:rPr>
          <w:rFonts w:ascii="宋体" w:hAnsi="宋体"/>
          <w:b/>
          <w:color w:val="1A1A1A"/>
          <w:sz w:val="21"/>
        </w:rPr>
        <w:t>（4）第三级：判级融合（Decision Fusion）</w:t>
      </w:r>
    </w:p>
    <w:p>
      <w:pPr>
        <w:spacing w:after="40"/>
      </w:pPr>
    </w:p>
    <w:p>
      <w:pPr>
        <w:spacing w:after="80"/>
      </w:pPr>
      <w:r>
        <w:rPr>
          <w:rFonts w:ascii="宋体" w:hAnsi="宋体"/>
          <w:color w:val="1A1A1A"/>
          <w:sz w:val="21"/>
        </w:rPr>
        <w:t>判级融合解决的核心问题：三个维度（图像/点云/姿态）对同一位置给出了各自的判定结论，如何综合为单一输出。</w:t>
      </w:r>
    </w:p>
    <w:p>
      <w:pPr>
        <w:spacing w:after="40"/>
      </w:pPr>
    </w:p>
    <w:p>
      <w:pPr>
        <w:spacing w:after="80"/>
      </w:pPr>
      <w:r>
        <w:rPr>
          <w:rFonts w:ascii="宋体" w:hAnsi="宋体"/>
          <w:color w:val="1A1A1A"/>
          <w:sz w:val="21"/>
        </w:rPr>
        <w:t>加权几何平均融合公式：设三维度对某缺陷的置信度分别为C_2D、C_3D、C_IMU（取值0~1），对应权重为w_2D、w_3D、w_IMU（归一化，即w_2D+w_3D+w_IMU=1），则融合置信度为几何加权平均：</w:t>
      </w:r>
    </w:p>
    <w:p>
      <w:pPr>
        <w:spacing w:after="40"/>
      </w:pPr>
    </w:p>
    <w:p>
      <w:pPr>
        <w:spacing w:before="80" w:after="80"/>
        <w:ind w:left="567" w:right="283"/>
        <w:shd w:val="clear" w:color="auto" w:fill="F2F2F2"/>
      </w:pPr>
      <w:r>
        <w:rPr>
          <w:rFonts w:ascii="Courier New" w:hAnsi="Courier New"/>
          <w:color w:val="272727"/>
          <w:sz w:val="18"/>
        </w:rPr>
        <w:t>C_fusion = C_2D^(w_2D) × C_3D^(w_3D) × C_IMU^(w_IMU)</w:t>
        <w:br/>
      </w:r>
    </w:p>
    <w:p>
      <w:pPr>
        <w:spacing w:after="40"/>
      </w:pPr>
    </w:p>
    <w:p>
      <w:pPr>
        <w:spacing w:after="80"/>
      </w:pPr>
      <w:r>
        <w:rPr>
          <w:rFonts w:ascii="宋体" w:hAnsi="宋体"/>
          <w:color w:val="1A1A1A"/>
          <w:sz w:val="21"/>
        </w:rPr>
        <w:t>几何平均相比算术平均的优势：几何平均对单一维度低置信度更敏感（惩罚效应），当任意维度置信度接近0时，融合结果趋向0，有效防止误判传播。</w:t>
      </w:r>
    </w:p>
    <w:p>
      <w:pPr>
        <w:spacing w:after="40"/>
      </w:pPr>
    </w:p>
    <w:p>
      <w:pPr>
        <w:spacing w:after="80"/>
      </w:pPr>
      <w:r>
        <w:rPr>
          <w:rFonts w:ascii="宋体" w:hAnsi="宋体"/>
          <w:color w:val="1A1A1A"/>
          <w:sz w:val="21"/>
        </w:rPr>
        <w:t>缺陷类型自适应动态权重配置（核心创新）：</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缺陷类型</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图像(2D)权重 w_2D</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点云(3D)权重 w_3D</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姿态(IMU)权重 w_IMU</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融合逻辑</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轨面裂纹</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**0.70**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0.20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图像为主，轮廓印证；点云变形时升一级</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轨面掉块</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**0.60**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**0.30**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图像与点云双维度同时超限才判定；单维度超限降一级</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螺栓松动</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**0.65**</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**0.25**</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图像识别为主，姿态振动信号辅助；双通道同时报警升一级</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轮廓磨耗</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**0.90**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0.00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点云独立判定；图像仅作为辅助参考</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波磨</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0.20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**0.80**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0.00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点云频谱分析为主；图像用于复核</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焊缝缺陷</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**0.80**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0.15</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0.05</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图像为主；点云廓形作为辅助依据</w:t>
            </w:r>
          </w:p>
        </w:tc>
      </w:tr>
    </w:tbl>
    <w:p/>
    <w:p>
      <w:pPr>
        <w:spacing w:after="40"/>
      </w:pPr>
    </w:p>
    <w:p>
      <w:pPr>
        <w:spacing w:after="80"/>
      </w:pPr>
      <w:r>
        <w:rPr>
          <w:rFonts w:ascii="宋体" w:hAnsi="宋体"/>
          <w:color w:val="1A1A1A"/>
          <w:sz w:val="21"/>
        </w:rPr>
        <w:t>以轨面裂纹为例：若图像置信度C_2D=0.85（明显裂纹）、点云置信度C_3D=0.78（轻微变形）、姿态置信度C_IMU=0.95（无异常），代入加权几何平均公式：</w:t>
      </w:r>
    </w:p>
    <w:p>
      <w:pPr>
        <w:spacing w:after="40"/>
      </w:pPr>
    </w:p>
    <w:p>
      <w:pPr>
        <w:spacing w:before="80" w:after="80"/>
        <w:ind w:left="567" w:right="283"/>
        <w:shd w:val="clear" w:color="auto" w:fill="F2F2F2"/>
      </w:pPr>
      <w:r>
        <w:rPr>
          <w:rFonts w:ascii="Courier New" w:hAnsi="Courier New"/>
          <w:color w:val="272727"/>
          <w:sz w:val="18"/>
        </w:rPr>
        <w:t>C_fusion = 0.85^0.70 × 0.78^0.20 × 0.95^0.10</w:t>
        <w:br/>
        <w:t xml:space="preserve">         = 0.895 × 0.953 × 0.995</w:t>
        <w:br/>
        <w:t xml:space="preserve">         = 0.847</w:t>
        <w:br/>
      </w:r>
    </w:p>
    <w:p>
      <w:pPr>
        <w:spacing w:after="40"/>
      </w:pPr>
    </w:p>
    <w:p>
      <w:pPr>
        <w:spacing w:after="80"/>
      </w:pPr>
      <w:r>
        <w:rPr>
          <w:rFonts w:ascii="宋体" w:hAnsi="宋体"/>
          <w:color w:val="1A1A1A"/>
          <w:sz w:val="21"/>
        </w:rPr>
        <w:t>融合置信度0.847，对应2级（明显），与纯图像判定等级一致，但多维度印证提升了结论可信度。</w:t>
      </w:r>
    </w:p>
    <w:p>
      <w:pPr>
        <w:spacing w:after="40"/>
      </w:pPr>
    </w:p>
    <w:p>
      <w:pPr>
        <w:spacing w:after="80"/>
      </w:pPr>
      <w:r>
        <w:rPr>
          <w:rFonts w:ascii="宋体" w:hAnsi="宋体"/>
          <w:b/>
          <w:color w:val="1A1A1A"/>
          <w:sz w:val="21"/>
        </w:rPr>
        <w:t>（5）左右轨独立融合流水线</w:t>
      </w:r>
    </w:p>
    <w:p>
      <w:pPr>
        <w:spacing w:after="40"/>
      </w:pPr>
    </w:p>
    <w:p>
      <w:pPr>
        <w:spacing w:before="80" w:after="80"/>
        <w:ind w:left="567" w:right="283"/>
        <w:shd w:val="clear" w:color="auto" w:fill="F2F2F2"/>
      </w:pPr>
      <w:r>
        <w:rPr>
          <w:rFonts w:ascii="Courier New" w:hAnsi="Courier New"/>
          <w:color w:val="272727"/>
          <w:sz w:val="18"/>
        </w:rPr>
        <w:t>左轨数据流：</w:t>
        <w:br/>
        <w:t xml:space="preserve">  左轨Camera帧 ──┐</w:t>
        <w:br/>
        <w:t xml:space="preserve">  左轨Laser帧 ───┼──→ 左轨时间对齐 ──→ 左轨空间关联 ──→ 左轨判级融合 ──→ 左轨判定结果</w:t>
        <w:br/>
        <w:t xml:space="preserve">  左轨IMU帧 ────┘</w:t>
        <w:br/>
        <w:br/>
        <w:t>右轨数据流：</w:t>
        <w:br/>
        <w:t xml:space="preserve">  右轨Camera帧 ──┐</w:t>
        <w:br/>
        <w:t xml:space="preserve">  右轨Laser帧 ───┼──→ 右轨时间对齐 ──→ 右轨空间关联 ──→ 右轨判级融合 ──→ 右轨判定结果</w:t>
        <w:br/>
        <w:t xml:space="preserve">  右轨IMU帧 ────┘</w:t>
        <w:br/>
        <w:br/>
        <w:t>双轨结果汇总（跨轨关联分析）──→ 最终输出 { FrameID, Mileage, LeftRight, Type, Grade, Confidence,依据 }</w:t>
        <w:br/>
      </w:r>
    </w:p>
    <w:p>
      <w:pPr>
        <w:spacing w:after="40"/>
      </w:pPr>
    </w:p>
    <w:p>
      <w:pPr>
        <w:spacing w:after="80"/>
      </w:pPr>
      <w:r>
        <w:rPr>
          <w:rFonts w:ascii="宋体" w:hAnsi="宋体"/>
          <w:b/>
          <w:color w:val="1A1A1A"/>
          <w:sz w:val="21"/>
        </w:rPr>
        <w:t>（6）数据质量保障机制</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保障措施</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技术方案</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阈值/条件</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帧质量标志</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每帧图像计算质量评分Q = f(曝光, 增益, 对比度, 清晰度)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Q&lt;0.5时标记为Uncertain，该帧不参与融合</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丢帧检测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连续监测Frame ID序列，连续3个ID缺失触发告警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触发后启动丢帧补偿（时间戳线性插值填补空白）</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3σ异常值剔除</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各数据流独立做统计检验，x_i &gt; μ±3σ时标记剔除</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剔除后标记，不进入融合计算</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CRC32校验</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帧数据完整性和校验</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CRC校验失败帧直接丢弃</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传感器健康监测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实时监测各传感器帧率/温度/电压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异常时降低该传感器权重，严重时屏蔽</w:t>
            </w:r>
          </w:p>
        </w:tc>
      </w:tr>
    </w:tbl>
    <w:p/>
    <w:p>
      <w:pPr>
        <w:spacing w:after="40"/>
      </w:pPr>
    </w:p>
    <w:p>
      <w:pPr>
        <w:spacing w:after="80"/>
      </w:pPr>
      <w:r>
        <w:rPr>
          <w:rFonts w:ascii="宋体" w:hAnsi="宋体"/>
          <w:b/>
          <w:color w:val="1A1A1A"/>
          <w:sz w:val="21"/>
        </w:rPr>
        <w:t>（7）传感器数据对齐精度指标</w:t>
      </w:r>
    </w:p>
    <w:p>
      <w:pPr>
        <w:spacing w:after="40"/>
      </w:pPr>
    </w:p>
    <w:p>
      <w:pPr>
        <w:spacing w:after="80"/>
      </w:pPr>
      <w:r>
        <w:rPr>
          <w:rFonts w:ascii="宋体" w:hAnsi="宋体"/>
          <w:color w:val="1A1A1A"/>
          <w:sz w:val="21"/>
        </w:rPr>
        <w:t>综合各环节误差后的最终数据精度：</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数据类型</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里程精度</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横向精度</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垂向精度</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时间精度</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轨面缺陷位置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道钉/螺栓位置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3D轮廓数据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±0.5mm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±2ms</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波磨数据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±2ms</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轨距值</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水平/高低角</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±0.01°</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±2ms</w:t>
            </w:r>
          </w:p>
        </w:tc>
      </w:tr>
    </w:tbl>
    <w:p/>
    <w:p>
      <w:pPr>
        <w:spacing w:after="40"/>
      </w:pPr>
    </w:p>
    <w:p>
      <w:pPr>
        <w:pStyle w:val="Heading2"/>
      </w:pPr>
      <w:r>
        <w:t>4.5 线路健康评估与养护决策</w:t>
      </w:r>
    </w:p>
    <w:p>
      <w:pPr>
        <w:spacing w:after="40"/>
      </w:pPr>
    </w:p>
    <w:p>
      <w:pPr>
        <w:spacing w:after="80"/>
      </w:pPr>
      <w:r>
        <w:rPr>
          <w:rFonts w:ascii="宋体" w:hAnsi="宋体"/>
          <w:b/>
          <w:color w:val="1A1A1A"/>
          <w:sz w:val="21"/>
        </w:rPr>
        <w:t>（1）四级病害判定体系</w:t>
      </w:r>
    </w:p>
    <w:p>
      <w:pPr>
        <w:spacing w:after="40"/>
      </w:pPr>
    </w:p>
    <w:p>
      <w:pPr>
        <w:spacing w:after="80"/>
      </w:pPr>
      <w:r>
        <w:rPr>
          <w:rFonts w:ascii="宋体" w:hAnsi="宋体"/>
          <w:color w:val="1A1A1A"/>
          <w:sz w:val="21"/>
        </w:rPr>
        <w:t>本系统建立与铁路工务标准直接对接的四级病害判定体系：</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等级</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等级名称</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触发条件</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建议处置</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正常</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各项指标在允许限值范围内，三源综合评分在安全阈值内</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正常巡检，维持现状</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轻微异常</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至少一个维度触发一级预警，综合评分处于注意区间</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纳入跟踪计划，持续观察</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明显超限</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至少一个维度明确超限，综合评分触发告警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纳入计划养护，优先安排处置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严重超限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多维度同时严重超限，或单一维度极端超限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立即处置，启动应急养护流程</w:t>
            </w:r>
          </w:p>
        </w:tc>
      </w:tr>
    </w:tbl>
    <w:p/>
    <w:p>
      <w:pPr>
        <w:spacing w:after="40"/>
      </w:pPr>
    </w:p>
    <w:p>
      <w:pPr>
        <w:spacing w:after="80"/>
      </w:pPr>
      <w:r>
        <w:rPr>
          <w:rFonts w:ascii="宋体" w:hAnsi="宋体"/>
          <w:b/>
          <w:color w:val="1A1A1A"/>
          <w:sz w:val="21"/>
        </w:rPr>
        <w:t>（2）区段健康评分模型</w:t>
      </w:r>
    </w:p>
    <w:p>
      <w:pPr>
        <w:spacing w:after="40"/>
      </w:pPr>
    </w:p>
    <w:p>
      <w:pPr>
        <w:spacing w:after="80"/>
      </w:pPr>
      <w:r>
        <w:rPr>
          <w:rFonts w:ascii="宋体" w:hAnsi="宋体"/>
          <w:color w:val="1A1A1A"/>
          <w:sz w:val="21"/>
        </w:rPr>
        <w:t>单点缺陷等级是微观评估，区段健康评分是宏观评估。本文以1km为标准区段长度，统计该区段内各等级缺陷的数量和密度，计算区段综合健康评分：</w:t>
      </w:r>
    </w:p>
    <w:p>
      <w:pPr>
        <w:spacing w:after="40"/>
      </w:pPr>
    </w:p>
    <w:p>
      <w:pPr>
        <w:spacing w:before="80" w:after="80"/>
        <w:ind w:left="567" w:right="283"/>
        <w:shd w:val="clear" w:color="auto" w:fill="F2F2F2"/>
      </w:pPr>
      <w:r>
        <w:rPr>
          <w:rFonts w:ascii="Courier New" w:hAnsi="Courier New"/>
          <w:color w:val="272727"/>
          <w:sz w:val="18"/>
        </w:rPr>
        <w:t>H_score = (Σ缺陷点_i的GradeScore) / L_section</w:t>
        <w:br/>
        <w:t>GradeScore_i = 0 (当等级=0级正常)</w:t>
        <w:br/>
        <w:t xml:space="preserve">             = 25 (当等级=1级轻微)</w:t>
        <w:br/>
        <w:t xml:space="preserve">             = 60 (当等级=2级明显)</w:t>
        <w:br/>
        <w:t xml:space="preserve">             = 100 (当等级=3级严重)</w:t>
        <w:br/>
        <w:t>L_section = 区段长度（单位km）</w:t>
        <w:br/>
      </w:r>
    </w:p>
    <w:p>
      <w:pPr>
        <w:spacing w:after="40"/>
      </w:pPr>
    </w:p>
    <w:p>
      <w:pPr>
        <w:spacing w:after="80"/>
      </w:pPr>
      <w:r>
        <w:rPr>
          <w:rFonts w:ascii="宋体" w:hAnsi="宋体"/>
          <w:color w:val="1A1A1A"/>
          <w:sz w:val="21"/>
        </w:rPr>
        <w:t>评分越高表示区段整体健康状况越差，以此量化养护优先级。评分结果以热力图形式呈现在云平台GIS地图上，运维人员一目了然。</w:t>
      </w:r>
    </w:p>
    <w:p>
      <w:pPr>
        <w:spacing w:after="40"/>
      </w:pPr>
    </w:p>
    <w:p>
      <w:pPr>
        <w:spacing w:after="80"/>
      </w:pPr>
      <w:r>
        <w:rPr>
          <w:rFonts w:ascii="宋体" w:hAnsi="宋体"/>
          <w:b/>
          <w:color w:val="1A1A1A"/>
          <w:sz w:val="21"/>
        </w:rPr>
        <w:t>（3）AI养护决策全说明输出</w:t>
      </w:r>
    </w:p>
    <w:p>
      <w:pPr>
        <w:spacing w:after="40"/>
      </w:pPr>
    </w:p>
    <w:p>
      <w:pPr>
        <w:spacing w:after="80"/>
      </w:pPr>
      <w:r>
        <w:rPr>
          <w:rFonts w:ascii="宋体" w:hAnsi="宋体"/>
          <w:color w:val="1A1A1A"/>
          <w:sz w:val="21"/>
        </w:rPr>
        <w:t>AI养护决策不是黑箱结论，而是附带完整决策链的可解释报告：</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决策要素</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养护结论</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养护优先级（紧急/优先/计划/观察）+ 建议养护时间窗口</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决策依据</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导致该决策的前3个关键缺陷（里程/类型/等级/几何尺寸）</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历史对比</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与上次检测结果的对比（新增缺陷数/劣化量/趋势判断）</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预估效果</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养护后预计健康评分改善幅度</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置信度说明</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AI综合置信度&lt;0.7时，明确标注"建议人工现场复核"</w:t>
            </w:r>
          </w:p>
        </w:tc>
      </w:tr>
    </w:tbl>
    <w:p/>
    <w:p>
      <w:pPr>
        <w:spacing w:after="40"/>
      </w:pPr>
    </w:p>
    <w:p>
      <w:pPr>
        <w:pStyle w:val="Heading2"/>
      </w:pPr>
      <w:r>
        <w:t>4.6 远程升级与模型迭代</w:t>
      </w:r>
    </w:p>
    <w:p>
      <w:pPr>
        <w:spacing w:after="40"/>
      </w:pPr>
    </w:p>
    <w:p>
      <w:pPr>
        <w:spacing w:after="80"/>
      </w:pPr>
      <w:r>
        <w:rPr>
          <w:rFonts w:ascii="宋体" w:hAnsi="宋体"/>
          <w:b/>
          <w:color w:val="1A1A1A"/>
          <w:sz w:val="21"/>
        </w:rPr>
        <w:t>（1）模型远程推送机制</w:t>
      </w:r>
    </w:p>
    <w:p>
      <w:pPr>
        <w:spacing w:after="40"/>
      </w:pPr>
    </w:p>
    <w:p>
      <w:pPr>
        <w:spacing w:after="80"/>
      </w:pPr>
      <w:r>
        <w:rPr>
          <w:rFonts w:ascii="宋体" w:hAnsi="宋体"/>
          <w:color w:val="1A1A1A"/>
          <w:sz w:val="21"/>
        </w:rPr>
        <w:t>AI检测模型支持通过4G/5G移动网络远程推送更新，实现系统的持续智能化演进，无需到场操作。</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技术方案</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增量推送</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只传输模型参数变化部分（delta），节省流量</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边缘验证</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推送至边缘节点后，先在本地小样本集（50帧）上验证，mAP下降&lt;5%后才正式部署</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自动回滚</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新模型若验证失败或运行时异常，自动回滚至上一稳定版本</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版本管理</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云端统一管理模型版本，支持按设备/按任务选择性灰度推送</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差分压缩</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相邻版本间做差分压缩传输，典型流量节省&gt;70%</w:t>
            </w:r>
          </w:p>
        </w:tc>
      </w:tr>
    </w:tbl>
    <w:p/>
    <w:p>
      <w:pPr>
        <w:spacing w:after="40"/>
      </w:pPr>
    </w:p>
    <w:p>
      <w:pPr>
        <w:spacing w:after="80"/>
      </w:pPr>
      <w:r>
        <w:rPr>
          <w:rFonts w:ascii="宋体" w:hAnsi="宋体"/>
          <w:b/>
          <w:color w:val="1A1A1A"/>
          <w:sz w:val="21"/>
        </w:rPr>
        <w:t>（2）主动学习持续优化闭环</w:t>
      </w:r>
    </w:p>
    <w:p>
      <w:pPr>
        <w:spacing w:after="40"/>
      </w:pPr>
    </w:p>
    <w:p>
      <w:pPr>
        <w:spacing w:after="80"/>
      </w:pPr>
      <w:r>
        <w:rPr>
          <w:rFonts w:ascii="宋体" w:hAnsi="宋体"/>
          <w:color w:val="1A1A1A"/>
          <w:sz w:val="21"/>
        </w:rPr>
        <w:t>系统建立了"边检测、边学习、边优化"的主动学习持续优化闭环：</w:t>
      </w:r>
    </w:p>
    <w:p>
      <w:pPr>
        <w:spacing w:after="40"/>
      </w:pPr>
    </w:p>
    <w:p>
      <w:pPr>
        <w:spacing w:before="80" w:after="80"/>
        <w:ind w:left="567" w:right="283"/>
        <w:shd w:val="clear" w:color="auto" w:fill="F2F2F2"/>
      </w:pPr>
      <w:r>
        <w:rPr>
          <w:rFonts w:ascii="Courier New" w:hAnsi="Courier New"/>
          <w:color w:val="272727"/>
          <w:sz w:val="18"/>
        </w:rPr>
        <w:t>边缘检测 ──→ 困难样本识别（置信度0.5~0.7区间优先）──→ 匿名化回传</w:t>
        <w:br/>
        <w:t xml:space="preserve">     ↑                                                      ↓</w:t>
        <w:br/>
        <w:t xml:space="preserve">     │                                                 人工标注</w:t>
        <w:br/>
        <w:t xml:space="preserve">     │                                                      ↓</w:t>
        <w:br/>
        <w:t xml:space="preserve">     └── 边缘验证 ◀── 新模型推送 ◀── 云端训练 ◀── 困难样本入训练集</w:t>
        <w:br/>
      </w:r>
    </w:p>
    <w:p>
      <w:pPr>
        <w:spacing w:after="40"/>
      </w:pPr>
    </w:p>
    <w:p>
      <w:pPr>
        <w:spacing w:after="80"/>
      </w:pPr>
      <w:r>
        <w:rPr>
          <w:rFonts w:ascii="宋体" w:hAnsi="宋体"/>
          <w:color w:val="1A1A1A"/>
          <w:sz w:val="21"/>
        </w:rPr>
        <w:t>困难样本优先回传策略：置信度在0.5~0.7区间的样本是模型最需要学习的样本（模型对此类样本判断不确定），优先回传并人工标注后加入训练集，以最小标注成本获得最大模型提升。</w:t>
      </w:r>
    </w:p>
    <w:p>
      <w:pPr>
        <w:spacing w:after="40"/>
      </w:pPr>
    </w:p>
    <w:p>
      <w:pPr>
        <w:spacing w:after="80"/>
      </w:pPr>
      <w:r>
        <w:rPr>
          <w:rFonts w:ascii="宋体" w:hAnsi="宋体"/>
          <w:b/>
          <w:color w:val="1A1A1A"/>
          <w:sz w:val="21"/>
        </w:rPr>
        <w:t>（3）远程参数调优</w:t>
      </w:r>
    </w:p>
    <w:p>
      <w:pPr>
        <w:spacing w:after="40"/>
      </w:pPr>
    </w:p>
    <w:p>
      <w:pPr>
        <w:spacing w:after="80"/>
      </w:pPr>
      <w:r>
        <w:rPr>
          <w:rFonts w:ascii="宋体" w:hAnsi="宋体"/>
          <w:color w:val="1A1A1A"/>
          <w:sz w:val="21"/>
        </w:rPr>
        <w:t>除模型参数外，检测阈值、融合权重、报警策略等均支持远程调整：</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可调范围</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影响说明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缺陷判定置信度阈值</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0.50~0.95</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影响检出率和误报率的平衡曲线</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融合权重w_2D/w_3D/w_IMU</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各维度权重独立可调</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根据实际效果动态优化融合策略</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各等级报警限值</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与铁路工务标准对接</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影响报警触发灵敏度和误报率</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采集帧率</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15~25fps</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平衡检测精度与存储量/传输量</w:t>
            </w:r>
          </w:p>
        </w:tc>
      </w:tr>
    </w:tbl>
    <w:p/>
    <w:p>
      <w:pPr>
        <w:spacing w:after="40"/>
      </w:pPr>
    </w:p>
    <w:p>
      <w:pPr>
        <w:pStyle w:val="Heading2"/>
      </w:pPr>
      <w:r>
        <w:t>4.7 本章小结</w:t>
      </w:r>
    </w:p>
    <w:p>
      <w:pPr>
        <w:spacing w:after="40"/>
      </w:pPr>
    </w:p>
    <w:p>
      <w:pPr>
        <w:spacing w:after="80"/>
      </w:pPr>
      <w:r>
        <w:rPr>
          <w:rFonts w:ascii="宋体" w:hAnsi="宋体"/>
          <w:color w:val="1A1A1A"/>
          <w:sz w:val="21"/>
        </w:rPr>
        <w:t>本章围绕综合检测系统的软件与AI算法设计，系统阐述了各层软件架构的设计思想和技术实现方案。</w:t>
      </w:r>
    </w:p>
    <w:p>
      <w:pPr>
        <w:spacing w:after="40"/>
      </w:pPr>
    </w:p>
    <w:p>
      <w:pPr>
        <w:spacing w:after="80"/>
      </w:pPr>
      <w:r>
        <w:rPr>
          <w:rFonts w:ascii="宋体" w:hAnsi="宋体"/>
          <w:color w:val="1A1A1A"/>
          <w:sz w:val="21"/>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40"/>
      </w:pPr>
    </w:p>
    <w:p>
      <w:pPr>
        <w:spacing w:after="80"/>
      </w:pPr>
      <w:r>
        <w:rPr>
          <w:rFonts w:ascii="宋体" w:hAnsi="宋体"/>
          <w:color w:val="1A1A1A"/>
          <w:sz w:val="21"/>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40"/>
      </w:pPr>
    </w:p>
    <w:p>
      <w:pPr>
        <w:spacing w:after="80"/>
      </w:pPr>
      <w:r>
        <w:rPr>
          <w:rFonts w:ascii="宋体" w:hAnsi="宋体"/>
          <w:color w:val="1A1A1A"/>
          <w:sz w:val="21"/>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40"/>
      </w:pPr>
    </w:p>
    <w:p>
      <w:pPr>
        <w:spacing w:after="80"/>
      </w:pPr>
      <w:r>
        <w:rPr>
          <w:rFonts w:ascii="宋体" w:hAnsi="宋体"/>
          <w:color w:val="1A1A1A"/>
          <w:sz w:val="21"/>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40"/>
      </w:pPr>
    </w:p>
    <w:p>
      <w:pPr>
        <w:spacing w:after="80"/>
      </w:pPr>
      <w:r>
        <w:rPr>
          <w:rFonts w:ascii="宋体" w:hAnsi="宋体"/>
          <w:color w:val="1A1A1A"/>
          <w:sz w:val="21"/>
        </w:rPr>
        <w:t>在健康评估方面，建立了与铁路工务标准直接对接的四级病害判定体系，区段健康评分量化养护优先级，AI养护决策附带完整决策链，实现可解释可追溯的智能决策。</w:t>
      </w:r>
    </w:p>
    <w:p>
      <w:pPr>
        <w:spacing w:after="40"/>
      </w:pPr>
    </w:p>
    <w:p>
      <w:pPr>
        <w:spacing w:after="80"/>
      </w:pPr>
      <w:r>
        <w:rPr>
          <w:rFonts w:ascii="宋体" w:hAnsi="宋体"/>
          <w:color w:val="1A1A1A"/>
          <w:sz w:val="21"/>
        </w:rPr>
        <w:t>在远程升级方面，支持AI模型和检测参数通过移动网络远程推送更新，困难样本优先回传形成主动学习闭环，实现系统的持续智能化演进。</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PAGE </w:instrText>
      <w:fldChar w:fldCharType="end"/>
    </w:r>
    <w: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铁路线路智能综合检测机器人 · 技术文档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微软雅黑" w:hAnsi="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微软雅黑" w:hAnsi="微软雅黑"/>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微软雅黑" w:hAnsi="微软雅黑"/>
      <w:b/>
      <w:bCs/>
      <w:color w:val="2F5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480"/>
      <w:contextualSpacing/>
      <w:jc w:val="center"/>
    </w:pPr>
    <w:rPr>
      <w:rFonts w:asciiTheme="majorHAnsi" w:eastAsiaTheme="majorEastAsia" w:hAnsiTheme="majorHAnsi" w:cstheme="majorBidi" w:ascii="微软雅黑" w:hAnsi="微软雅黑"/>
      <w:b/>
      <w:color w:val="1F49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