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04 软件与 AI 算法架构</w:t>
      </w:r>
    </w:p>
    <w:p>
      <w:pPr>
        <w:spacing w:after="60"/>
      </w:pPr>
      <w:r>
        <w:rPr>
          <w:b/>
          <w:color w:val="1F497D"/>
          <w:sz w:val="26"/>
        </w:rPr>
        <w:t>一、软件整体架构</w:t>
      </w:r>
    </w:p>
    <w:p>
      <w:pPr>
        <w:spacing w:after="60"/>
      </w:pPr>
      <w:r>
        <w:rPr>
          <w:sz w:val="21"/>
        </w:rPr>
        <w:t>本系统软件分为三层：边缘计算层、通信层、云平台层，三层协同实现无人干预全自动运行。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┌──────────────────────────────────────────────┐</w:t>
        <w:br/>
        <w:t>│              云平台层（远程）                  │</w:t>
        <w:br/>
        <w:t>│  数据存储 / 大数据分析 / AI训练 / 养护决策     │</w:t>
        <w:br/>
        <w:t>└──────────────────────────────────────────────┘</w:t>
        <w:br/>
        <w:t xml:space="preserve">            ↑ 移动网络远程传输</w:t>
        <w:br/>
        <w:t>┌──────────────────────────────────────────────┐</w:t>
        <w:br/>
        <w:t>│              通信层                           │</w:t>
        <w:br/>
        <w:t>│  工业总线（控制）+ 千兆以太网（采集）           │</w:t>
        <w:br/>
        <w:t>│  + 移动网络（传输），三网物理隔离            │</w:t>
        <w:br/>
        <w:t>└──────────────────────────────────────────────┘</w:t>
        <w:br/>
        <w:t xml:space="preserve">            ↑ 实时数据流</w:t>
        <w:br/>
        <w:t>┌──────────────────────────────────────────────┐</w:t>
        <w:br/>
        <w:t>│              边缘计算层（本地）                │</w:t>
        <w:br/>
        <w:t>│  工控机：AI 推理 / 实时融合 / 缺陷判定        │</w:t>
        <w:br/>
        <w:t>│  + 本地存储 / 实时报警 / 任务控制             │</w:t>
        <w:br/>
        <w:t>└──────────────────────────────────────────────┘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b/>
          <w:color w:val="1F497D"/>
          <w:sz w:val="26"/>
        </w:rPr>
        <w:t>二、边缘计算层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模块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功能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AI 推理引擎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边缘实时缺陷识别，秒级输出结果，无需人工看图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实时融合模块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图像 + 轮廓 + 传感器三流数据融合，综合判级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本地存储模块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检测数据实时写入本地 SSD，断网不丢数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报警模块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缺陷等级判定后立即触发本地声光报警 + 云端推送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任务控制模块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启停控制 / 定速巡航 / 定点返航 / 里程到达自动返航 / 状态监控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三、AI 算法模块说明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检测功能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AI 算法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轨面缺陷检测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图像语义分割 + 目标检测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像素级裂纹/掉块识别，精确定位 + 等级判定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道钉/螺栓检测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目标检测算法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逐帧检测缺失/松动/歪斜，统计数量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3D 钢轨轮廓检测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点云分析 + 廓形比对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磨耗量计算，横移量测量，超限判定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钢轨波磨检测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频谱分析 + 廓变提取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波长/波深分析，分布里程标记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钢轨焊缝检测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图像分类 + 缺陷分割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焊缝缺陷类型识别，等级判定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轨距检测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传感器融合 + 数值计算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多源数据融合，轨距值计算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水平/高低检测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陀螺仪数据积分 + 阈值判定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姿态角计算，超限标记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20"/>
        </w:rPr>
        <w:t>**AI 决策可解释**：每项缺陷输出结果时，同步附带判定依据（图像区域 / 廓形偏差值 / 姿态角），用户可知晓 AI "为什么这么说"。</w:t>
      </w:r>
    </w:p>
    <w:p>
      <w:pPr>
        <w:spacing w:after="60"/>
      </w:pPr>
      <w:r>
        <w:rPr>
          <w:b/>
          <w:color w:val="1F497D"/>
          <w:sz w:val="26"/>
        </w:rPr>
        <w:t>四、远程升级与模型迭代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功能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模型远程推送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AI 检测模型可通过移动网络远程推送更新，持续提升精度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数据回传训练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检测数据匿名化后回传云端，用于模型迭代训练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远程参数调优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可远程调整检测阈值、报警策略，无需到场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五、AI 推理引擎详细架构</w:t>
      </w:r>
    </w:p>
    <w:p>
      <w:pPr>
        <w:spacing w:after="60"/>
      </w:pPr>
      <w:r>
        <w:rPr>
          <w:sz w:val="21"/>
        </w:rPr>
        <w:t>本系统边缘推理采用 CPU + GPU 异构架构，兼顾实时性与低功耗：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层级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组件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输入预处理层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图像归一化 + 点云滤波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2448×2048 原始图像预处理为模型输入格式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AI 推理层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NVIDIA Jetson AGX Orin（嵌入式 GPU）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32 TOPS AI 算力，支持 INT8/FP16 并行推理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推理框架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TensorRT 加速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模型推理延迟 &lt; 20ms/帧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后处理层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NMS + 阈值过滤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多目标去重、缺陷分级判定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输出层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JSON 结构化结果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缺陷类型 + 里程坐标 + 损伤等级 + 置信度</w:t>
            </w:r>
          </w:p>
        </w:tc>
      </w:tr>
    </w:tbl>
    <w:p/>
    <w:p>
      <w:pPr>
        <w:spacing w:after="60"/>
      </w:pPr>
      <w:r>
        <w:rPr>
          <w:sz w:val="21"/>
        </w:rPr>
        <w:t>**推理流水线时序：**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图像采集 → 预处理(2ms) → GPU推理(15ms) → 后处理(3ms) → 融合判定(5ms) → 结果输出</w:t>
        <w:br/>
        <w:t xml:space="preserve">              └──────────────── 全流程 25ms ────────────────┘</w:t>
      </w:r>
    </w:p>
    <w:p>
      <w:pPr>
        <w:spacing w:after="60"/>
      </w:pPr>
      <w:r>
        <w:rPr>
          <w:sz w:val="21"/>
        </w:rPr>
        <w:t>**帧处理吞吐量：**</w:t>
      </w:r>
    </w:p>
    <w:p>
      <w:pPr>
        <w:pStyle w:val="ListBullet"/>
        <w:spacing w:after="40"/>
        <w:ind w:left="432"/>
      </w:pPr>
      <w:r>
        <w:rPr>
          <w:sz w:val="21"/>
        </w:rPr>
        <w:t>单帧总延迟：≤ 25ms</w:t>
      </w:r>
    </w:p>
    <w:p>
      <w:pPr>
        <w:pStyle w:val="ListBullet"/>
        <w:spacing w:after="40"/>
        <w:ind w:left="432"/>
      </w:pPr>
      <w:r>
        <w:rPr>
          <w:sz w:val="21"/>
        </w:rPr>
        <w:t>理论最大处理帧率：40 fps</w:t>
      </w:r>
    </w:p>
    <w:p>
      <w:pPr>
        <w:pStyle w:val="ListBullet"/>
        <w:spacing w:after="40"/>
        <w:ind w:left="432"/>
      </w:pPr>
      <w:r>
        <w:rPr>
          <w:sz w:val="21"/>
        </w:rPr>
        <w:t>实际工作帧率：25 fps（含安全冗余）</w:t>
      </w:r>
    </w:p>
    <w:p>
      <w:pPr>
        <w:spacing w:after="60"/>
      </w:pPr>
      <w:r>
        <w:rPr>
          <w:b/>
          <w:color w:val="1F497D"/>
          <w:sz w:val="26"/>
        </w:rPr>
        <w:t>六、实时融合算法细节</w:t>
      </w:r>
    </w:p>
    <w:p>
      <w:pPr>
        <w:spacing w:after="60"/>
      </w:pPr>
      <w:r>
        <w:rPr>
          <w:sz w:val="21"/>
        </w:rPr>
        <w:t>三流数据融合采用"时间窗口对齐 + 空间位置关联 + 判级融合"三级结构：</w:t>
      </w:r>
    </w:p>
    <w:p>
      <w:pPr>
        <w:spacing w:after="60"/>
      </w:pPr>
      <w:r>
        <w:rPr>
          <w:sz w:val="21"/>
        </w:rPr>
        <w:t>**第一级：时间窗口对齐**</w:t>
      </w:r>
    </w:p>
    <w:p>
      <w:pPr>
        <w:pStyle w:val="ListBullet"/>
        <w:spacing w:after="40"/>
        <w:ind w:left="432"/>
      </w:pPr>
      <w:r>
        <w:rPr>
          <w:sz w:val="21"/>
        </w:rPr>
        <w:t>陀螺仪数据：毫秒级时间戳，与相机帧编号精确对应</w:t>
      </w:r>
    </w:p>
    <w:p>
      <w:pPr>
        <w:pStyle w:val="ListBullet"/>
        <w:spacing w:after="40"/>
        <w:ind w:left="432"/>
      </w:pPr>
      <w:r>
        <w:rPr>
          <w:sz w:val="21"/>
        </w:rPr>
        <w:t>里程编码器：每帧图像绑定当前里程坐标，精度 ±5mm</w:t>
      </w:r>
    </w:p>
    <w:p>
      <w:pPr>
        <w:pStyle w:val="ListBullet"/>
        <w:spacing w:after="40"/>
        <w:ind w:left="432"/>
      </w:pPr>
      <w:r>
        <w:rPr>
          <w:sz w:val="21"/>
        </w:rPr>
        <w:t>融合窗口：50ms 滑动窗口，窗口内数据视为同一时刻采集</w:t>
      </w:r>
    </w:p>
    <w:p>
      <w:pPr>
        <w:spacing w:after="60"/>
      </w:pPr>
      <w:r>
        <w:rPr>
          <w:sz w:val="21"/>
        </w:rPr>
        <w:t>**第二级：空间位置关联**</w:t>
      </w:r>
    </w:p>
    <w:p>
      <w:pPr>
        <w:pStyle w:val="ListBullet"/>
        <w:spacing w:after="40"/>
        <w:ind w:left="432"/>
      </w:pPr>
      <w:r>
        <w:rPr>
          <w:sz w:val="21"/>
        </w:rPr>
        <w:t>左右轨独立建模，左右钢轨数据独立融合判定</w:t>
      </w:r>
    </w:p>
    <w:p>
      <w:pPr>
        <w:pStyle w:val="ListBullet"/>
        <w:spacing w:after="40"/>
        <w:ind w:left="432"/>
      </w:pPr>
      <w:r>
        <w:rPr>
          <w:sz w:val="21"/>
        </w:rPr>
        <w:t>缺陷位置 = 里程坐标 + 轨距偏移（左右轨定位）</w:t>
      </w:r>
    </w:p>
    <w:p>
      <w:pPr>
        <w:pStyle w:val="ListBullet"/>
        <w:spacing w:after="40"/>
        <w:ind w:left="432"/>
      </w:pPr>
      <w:r>
        <w:rPr>
          <w:sz w:val="21"/>
        </w:rPr>
        <w:t>姿态角绑定：缺陷位置同步记录当前机器人俯仰角/侧倾角</w:t>
      </w:r>
    </w:p>
    <w:p>
      <w:pPr>
        <w:spacing w:after="60"/>
      </w:pPr>
      <w:r>
        <w:rPr>
          <w:sz w:val="21"/>
        </w:rPr>
        <w:t>**第三级：判级融合输出**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20"/>
              </w:rPr>
              <w:t>缺陷类型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主要依据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辅助依据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综合判级逻辑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轨面裂纹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图像语义分割结果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轮廓起伏变化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图像为主，轮廓印证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轨面掉块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图像目标检测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轮廓深度突变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双维度同时超限才判定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螺栓松动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图像目标检测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姿态振动信号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图像为主，振动辅助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轮廓磨耗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3D 点云数据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点云独立判定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七、通信层详细说明</w:t>
      </w:r>
    </w:p>
    <w:p>
      <w:pPr>
        <w:spacing w:after="60"/>
      </w:pPr>
      <w:r>
        <w:rPr>
          <w:sz w:val="21"/>
        </w:rPr>
        <w:t>三网物理隔离，每网独立运行，互不干扰：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r>
              <w:rPr>
                <w:sz w:val="20"/>
              </w:rPr>
              <w:t>网络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物理介质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协议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带宽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实时性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用途</w:t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**工业总线网（控制网）**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双路 CAN FD + EtherCAT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CANopen over EtherCAT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100 Mbps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硬实时 ≤ 1ms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伺服驱动、电机控制、刹车、急停</w:t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**千兆以太网（采集网）**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千兆工业以太网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GigE Vision + TCP/IP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1000 Mbps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软实时 ≤ 10ms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6路相机 + 2路激光实时采集</w:t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**移动网络（传输网）**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4G/5G 无线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MQTT + TLS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50~500 Mbps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非实时秒级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数据上传、远程监控、模型推送</w:t>
            </w:r>
          </w:p>
        </w:tc>
      </w:tr>
    </w:tbl>
    <w:p/>
    <w:p>
      <w:pPr>
        <w:spacing w:after="60"/>
      </w:pPr>
      <w:r>
        <w:rPr>
          <w:sz w:val="21"/>
        </w:rPr>
        <w:t>**三网隔离实现：**</w:t>
      </w:r>
    </w:p>
    <w:p>
      <w:pPr>
        <w:pStyle w:val="ListBullet"/>
        <w:spacing w:after="40"/>
        <w:ind w:left="432"/>
      </w:pPr>
      <w:r>
        <w:rPr>
          <w:sz w:val="21"/>
        </w:rPr>
        <w:t>三块独立网卡 + 三个独立 MAC 地址，物理层完全分离</w:t>
      </w:r>
    </w:p>
    <w:p>
      <w:pPr>
        <w:pStyle w:val="ListBullet"/>
        <w:spacing w:after="40"/>
        <w:ind w:left="432"/>
      </w:pPr>
      <w:r>
        <w:rPr>
          <w:sz w:val="21"/>
        </w:rPr>
        <w:t>三套独立 PHY 芯片，任一网络故障不影响另外两张网</w:t>
      </w:r>
    </w:p>
    <w:p>
      <w:pPr>
        <w:pStyle w:val="ListBullet"/>
        <w:spacing w:after="40"/>
        <w:ind w:left="432"/>
      </w:pPr>
      <w:r>
        <w:rPr>
          <w:sz w:val="21"/>
        </w:rPr>
        <w:t>VLAN 或独立交换芯片进一步逻辑隔离</w:t>
      </w:r>
    </w:p>
    <w:p>
      <w:pPr>
        <w:spacing w:after="60"/>
      </w:pPr>
      <w:r>
        <w:rPr>
          <w:b/>
          <w:color w:val="1F497D"/>
          <w:sz w:val="26"/>
        </w:rPr>
        <w:t>八、网络安全与数据安全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安全维度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措施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传输加密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TLS 1.3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移动网络传输全程加密，防止数据窃取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设备认证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MQTT 双向认证 + Token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云端与边缘设备 mutual authentication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数据完整性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SHA-256 校验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原始数据 + 判定结果均做哈希校验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边缘存储加密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AES-256 静态加密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SSD 数据即使被拆离也无法读取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入侵检测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边缘节点异常流量监控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实时检测并阻断异常连接请求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安全启动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UEFI Secure Boot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防止边缘设备刷入恶意固件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九、故障自愈与边缘节点异常检测</w:t>
      </w:r>
    </w:p>
    <w:p>
      <w:pPr>
        <w:spacing w:after="60"/>
      </w:pPr>
      <w:r>
        <w:rPr>
          <w:sz w:val="21"/>
        </w:rPr>
        <w:t>**边缘节点健康监控：**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监控指标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告警阈值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处理动作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GPU 利用率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持续 &gt; 95% 超过 30s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降频处理，减少并发推理任务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内存占用率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&gt; 85%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触发 GC，清理历史缓存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磁盘剩余空间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&lt; 10%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删除最旧的历史数据，保留最近 72h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帧率稳定性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连续 10 帧丢失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触发传感器重置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网络延迟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传输延迟 &gt; 5s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切换本地存储，等待网络恢复</w:t>
            </w:r>
          </w:p>
        </w:tc>
      </w:tr>
    </w:tbl>
    <w:p/>
    <w:p>
      <w:pPr>
        <w:spacing w:after="60"/>
      </w:pPr>
      <w:r>
        <w:rPr>
          <w:sz w:val="21"/>
        </w:rPr>
        <w:t>**故障自愈流程：**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异常检测 → 分类（软件故障/硬件故障/通信故障）</w:t>
        <w:br/>
        <w:t xml:space="preserve">         ↓</w:t>
        <w:br/>
        <w:t xml:space="preserve">    软件故障 → 自动重启对应服务（&lt; 10s）</w:t>
        <w:br/>
        <w:t xml:space="preserve">    硬件故障 → 切换冗余备份，同时上报监控中心</w:t>
        <w:br/>
        <w:t xml:space="preserve">    通信故障 → 本地缓存，网络恢复后自动补传</w:t>
      </w:r>
    </w:p>
    <w:p>
      <w:pPr>
        <w:spacing w:after="60"/>
      </w:pPr>
      <w:r>
        <w:rPr>
          <w:b/>
          <w:color w:val="1F497D"/>
          <w:sz w:val="26"/>
        </w:rPr>
        <w:t>十、边缘硬件规格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组件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型号/规格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核心计算单元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NVIDIA Jetson AGX Orin 64GB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32 TOPS AI 算力，ARM Cortex-A78AE × 12 核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12 核 ARM Cortex-A78AE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主频 2.2GHz，支持实时操作系统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GPU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NVIDIA Ampere 架构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2048 CUDA 核 + 64 Tensor 核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内存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64GB LPDDR5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带宽 204.8 GB/s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存储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256GB NVMe SSD（系统）+ 2TB SSD（数据）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高速读写，支持 RAID1 数据冗余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工控机防护等级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IP54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防尘 + 防溅水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工作温度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-20°C ~ 55°C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适应铁路现场恶劣环境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功耗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典型 30W，最大 60W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支持电池供电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