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三个关键技术模块：多源数据时空对齐机制、三级融合框架与自适应动态加权融合算法、高低检测双速EKF融合算法。3D线激光廓形与波磨融合检测算法作为支撑模块在本章3.5节一并说明。</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8037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w:t>
      </w:r>
    </w:p>
    <w:p>
      <w:pPr>
        <w:jc w:val="center"/>
      </w:pPr>
      <w:r>
        <w:drawing>
          <wp:inline xmlns:a="http://schemas.openxmlformats.org/drawingml/2006/main" xmlns:pic="http://schemas.openxmlformats.org/drawingml/2006/picture">
            <wp:extent cx="5400000" cy="803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时空等价关系：</w:t>
      </w:r>
    </w:p>
    <w:p>
      <w:pPr>
        <w:jc w:val="center"/>
      </w:pPr>
      <w:r/>
    </w:p>
    <w:p>
      <w:pPr>
        <w:jc w:val="center"/>
      </w:pPr>
      <w:r>
        <w:rPr>
          <w:i/>
          <w:sz w:val="22"/>
        </w:rPr>
        <w:t xml:space="preserve">T(D</w:t>
      </w:r>
      <w:r>
        <w:rPr>
          <w:rStyle w:val="EquationNative"/>
        </w:rPr>
        <m:oMath>
          <m:sSub>
            <m:e/>
            <m:sub>
              <m:r>
                <m:t>i</m:t>
              </m:r>
            </m:sub>
          </m:sSub>
        </m:oMath>
      </w:r>
      <w:r>
        <w:rPr>
          <w:i/>
          <w:sz w:val="22"/>
        </w:rPr>
        <w:t xml:space="preserve">) = ⟨FID</w:t>
      </w:r>
      <w:r>
        <w:rPr>
          <w:rStyle w:val="EquationNative"/>
        </w:rPr>
        <m:oMath>
          <m:sSub>
            <m:e/>
            <m:sub>
              <m:r>
                <m:t>k</m:t>
              </m:r>
            </m:sub>
          </m:sSub>
        </m:oMath>
      </w:r>
      <w:r>
        <w:rPr>
          <w:i/>
          <w:sz w:val="22"/>
        </w:rPr>
        <w:t xml:space="preserve">, s</w:t>
      </w:r>
      <w:r>
        <w:rPr>
          <w:rStyle w:val="EquationNative"/>
        </w:rPr>
        <m:oMath>
          <m:sSub>
            <m:e/>
            <m:sub>
              <m:r>
                <m:t>k</m:t>
              </m:r>
            </m:sub>
          </m:sSub>
        </m:oMath>
      </w:r>
      <w:r>
        <w:rPr>
          <w:i/>
          <w:sz w:val="22"/>
        </w:rPr>
        <w:t xml:space="preserve">, t</w:t>
      </w:r>
      <w:r>
        <w:rPr>
          <w:rStyle w:val="EquationNative"/>
        </w:rPr>
        <m:oMath>
          <m:sSub>
            <m:e/>
            <m:sub>
              <m:r>
                <m:t>k</m:t>
              </m:r>
            </m:sub>
          </m:sSub>
        </m:oMath>
      </w:r>
      <w:r>
        <w:rPr>
          <w:sz w:val="22"/>
        </w:rPr>
        <w:t xml:space="preserve">⟩  ⟺  |FID</w:t>
      </w:r>
      <w:r>
        <w:rPr>
          <w:rStyle w:val="EquationNative"/>
        </w:rPr>
        <m:oMath>
          <m:sSub>
            <m:e/>
            <m:sub>
              <m:r>
                <m:t>i</m:t>
              </m:r>
            </m:sub>
          </m:sSub>
        </m:oMath>
      </w:r>
      <w:r>
        <w:rPr>
          <w:sz w:val="22"/>
        </w:rPr>
        <w:t xml:space="preserve"> − FID</w:t>
      </w:r>
      <w:r>
        <w:rPr>
          <w:rStyle w:val="EquationNative"/>
        </w:rPr>
        <m:oMath>
          <m:sSub>
            <m:e/>
            <m:sub>
              <m:r>
                <m:t>j</m:t>
              </m:r>
            </m:sub>
          </m:sSub>
        </m:oMath>
      </w:r>
      <w:r>
        <w:rPr>
          <w:sz w:val="22"/>
        </w:rPr>
        <w:t xml:space="preserve">| ≤ 1  ∧  |s</w:t>
      </w:r>
      <w:r>
        <w:rPr>
          <w:rStyle w:val="EquationNative"/>
        </w:rPr>
        <m:oMath>
          <m:sSub>
            <m:e/>
            <m:sub>
              <m:r>
                <m:t>i</m:t>
              </m:r>
            </m:sub>
          </m:sSub>
        </m:oMath>
      </w:r>
      <w:r>
        <w:rPr>
          <w:sz w:val="22"/>
        </w:rPr>
        <w:t xml:space="preserve"> − s</w:t>
      </w:r>
      <w:r>
        <w:rPr>
          <w:rStyle w:val="EquationNative"/>
        </w:rPr>
        <m:oMath>
          <m:sSub>
            <m:e/>
            <m:sub>
              <m:r>
                <m:t>j</m:t>
              </m:r>
            </m:sub>
          </m:sSub>
        </m:oMath>
      </w:r>
      <w:r>
        <w:rPr>
          <w:sz w:val="22"/>
        </w:rPr>
        <w:t xml:space="preserve">| ≤ Δs</w:t>
      </w:r>
      <w:r>
        <w:rPr>
          <w:rStyle w:val="EquationNative"/>
        </w:rPr>
        <m:oMath>
          <m:sSub>
            <m:e/>
            <m:sub>
              <m:r>
                <m:t>max</m:t>
              </m:r>
            </m:sub>
          </m:sSub>
        </m:oMath>
      </w:r>
      <w:r>
        <w:rPr>
          <w:sz w:val="22"/>
        </w:rPr>
        <w:t xml:space="preserve">  ∧  |t</w:t>
      </w:r>
      <w:r>
        <w:rPr>
          <w:rStyle w:val="EquationNative"/>
        </w:rPr>
        <m:oMath>
          <m:sSub>
            <m:e/>
            <m:sub>
              <m:r>
                <m:t>i</m:t>
              </m:r>
            </m:sub>
          </m:sSub>
        </m:oMath>
      </w:r>
      <w:r>
        <w:rPr>
          <w:sz w:val="22"/>
        </w:rPr>
        <w:t xml:space="preserve"> − t</w:t>
      </w:r>
      <w:r>
        <w:rPr>
          <w:rStyle w:val="EquationNative"/>
        </w:rPr>
        <m:oMath>
          <m:sSub>
            <m:e/>
            <m:sub>
              <m:r>
                <m:t>j</m:t>
              </m:r>
            </m:sub>
          </m:sSub>
        </m:oMath>
      </w:r>
      <w:r>
        <w:rPr>
          <w:sz w:val="22"/>
        </w:rPr>
        <w:t xml:space="preserve">| ≤ Δt</w:t>
      </w:r>
      <w:r>
        <w:rPr>
          <w:rStyle w:val="EquationNative"/>
        </w:rPr>
        <m:oMath>
          <m:sSub>
            <m:e/>
            <m:sub>
              <m:r>
                <m:t>max</m:t>
              </m:r>
            </m:sub>
          </m:sSub>
        </m:oMath>
      </w:r>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8037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8037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jc w:val="center"/>
      </w:pPr>
      <w:r>
        <w:rPr>
          <w:i/>
          <w:sz w:val="22"/>
        </w:rPr>
        <w:t xml:space="preserve">w</w:t>
      </w:r>
      <w:r>
        <w:rPr>
          <w:rStyle w:val="EquationNative"/>
        </w:rPr>
        <m:oMath>
          <m:sSub>
            <m:e/>
            <m:sub>
              <m:r>
                <m:t>d</m:t>
              </m:r>
            </m:sub>
          </m:sSub>
        </m:oMath>
      </w:r>
      <w:r>
        <w:rPr>
          <w:i/>
          <w:sz w:val="22"/>
        </w:rPr>
        <w:t xml:space="preserve">(k) = r</w:t>
      </w:r>
      <w:r>
        <w:rPr>
          <w:rStyle w:val="EquationNative"/>
        </w:rPr>
        <m:oMath>
          <m:sSub>
            <m:e/>
            <m:sub>
              <m:r>
                <m:t>d</m:t>
              </m:r>
            </m:sub>
          </m:sSub>
        </m:oMath>
      </w:r>
      <w:r>
        <w:rPr>
          <w:sz w:val="22"/>
        </w:rPr>
        <w:t xml:space="preserve">(k) / [r</w:t>
      </w:r>
      <w:r>
        <w:rPr>
          <w:rStyle w:val="EquationNative"/>
        </w:rPr>
        <m:oMath>
          <m:sSub>
            <m:e/>
            <m:sub>
              <m:r>
                <m:t>2D</m:t>
              </m:r>
            </m:sub>
          </m:sSub>
        </m:oMath>
      </w:r>
      <w:r>
        <w:rPr>
          <w:sz w:val="22"/>
        </w:rPr>
        <w:t xml:space="preserve">(k) + r</w:t>
      </w:r>
      <w:r>
        <w:rPr>
          <w:rStyle w:val="EquationNative"/>
        </w:rPr>
        <m:oMath>
          <m:sSub>
            <m:e/>
            <m:sub>
              <m:r>
                <m:t>3D</m:t>
              </m:r>
            </m:sub>
          </m:sSub>
        </m:oMath>
      </w:r>
      <w:r>
        <w:rPr>
          <w:sz w:val="22"/>
        </w:rPr>
        <w:t xml:space="preserve">(k) + r</w:t>
      </w:r>
      <w:r>
        <w:rPr>
          <w:rStyle w:val="EquationNative"/>
        </w:rPr>
        <m:oMath>
          <m:sSub>
            <m:e/>
            <m:sub>
              <m:r>
                <m:t>IMU</m:t>
              </m:r>
            </m:sub>
          </m:sSub>
        </m:oMath>
      </w:r>
      <w:r>
        <w:rPr>
          <w:sz w:val="22"/>
        </w:rPr>
        <w:t xml:space="preserve">(k)]</w:t>
      </w:r>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8037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r>
        <w:drawing>
          <wp:inline xmlns:a="http://schemas.openxmlformats.org/drawingml/2006/main" xmlns:pic="http://schemas.openxmlformats.org/drawingml/2006/picture">
            <wp:extent cx="5400000" cy="8037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快回路状态转移方程（恒定角速度模型，离散化）：</w:t>
      </w:r>
    </w:p>
    <w:p>
      <w:pPr>
        <w:jc w:val="center"/>
      </w:pPr>
      <w:r/>
    </w:p>
    <w:p>
      <w:pPr>
        <w:jc w:val="center"/>
      </w:pPr>
      <w:r>
        <w:rPr>
          <w:i/>
          <w:sz w:val="22"/>
        </w:rPr>
        <w:t xml:space="preserve">x</w:t>
      </w:r>
      <w:r>
        <w:rPr>
          <w:rStyle w:val="EquationNative"/>
        </w:rPr>
        <m:oMath>
          <m:sSub>
            <m:e/>
            <m:sub>
              <m:r>
                <m:t>k</m:t>
              </m:r>
            </m:sub>
          </m:sSub>
        </m:oMath>
      </w:r>
      <w:r>
        <w:rPr>
          <w:i/>
          <w:sz w:val="22"/>
        </w:rPr>
        <w:t xml:space="preserve"> = F</w:t>
      </w:r>
      <w:r>
        <w:rPr>
          <w:rStyle w:val="EquationNative"/>
        </w:rPr>
        <m:oMath>
          <m:sSub>
            <m:e/>
            <m:sub>
              <m:r>
                <m:t>f</m:t>
              </m:r>
            </m:sub>
          </m:sSub>
        </m:oMath>
      </w:r>
      <w:r>
        <w:rPr>
          <w:sz w:val="22"/>
        </w:rPr>
        <w:t xml:space="preserve"> · x</w:t>
      </w:r>
      <w:r>
        <w:rPr>
          <w:i/>
          <w:sz w:val="22"/>
        </w:rPr>
        <w:t xml:space="preserve">k−1</w:t>
      </w:r>
      <w:r>
        <w:rPr>
          <w:i/>
          <w:sz w:val="22"/>
        </w:rPr>
        <w:t xml:space="preserve"> + w</w:t>
      </w:r>
      <w:r>
        <w:rPr>
          <w:i/>
          <w:sz w:val="22"/>
        </w:rPr>
        <w:t xml:space="preserve">k−1</w:t>
      </w:r>
      <w:r>
        <w:rPr>
          <w:i/>
          <w:sz w:val="22"/>
        </w:rPr>
        <w:t xml:space="preserve">          F</w:t>
      </w:r>
      <w:r>
        <w:rPr>
          <w:rStyle w:val="EquationNative"/>
        </w:rPr>
        <m:oMath>
          <m:sSub>
            <m:e/>
            <m:sub>
              <m:r>
                <m:t>f</m:t>
              </m:r>
            </m:sub>
          </m:sSub>
        </m:oMath>
      </w:r>
      <w:r>
        <w:rPr>
          <w:sz w:val="22"/>
        </w:rPr>
        <w:t xml:space="preserve"> = [[1, Δt, 0, 0], [0, 1, 0, 0], [0, 0, 1, Δt], [0, 0, 0, 1]]</w:t>
      </w:r>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80372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慢回路状态转移方程（轨道高程为随机游走，车体为恒定垂向速度模型）：</w:t>
      </w:r>
    </w:p>
    <w:p>
      <w:pPr>
        <w:jc w:val="center"/>
      </w:pPr>
      <w:r/>
    </w:p>
    <w:p>
      <w:pPr>
        <w:jc w:val="center"/>
      </w:pPr>
      <w:r>
        <w:rPr>
          <w:i/>
          <w:sz w:val="22"/>
        </w:rPr>
        <w:t xml:space="preserve">x</w:t>
      </w:r>
      <w:r>
        <w:rPr>
          <w:rStyle w:val="EquationNative"/>
        </w:rPr>
        <m:oMath>
          <m:sSub>
            <m:e/>
            <m:sub>
              <m:r>
                <m:t>k</m:t>
              </m:r>
            </m:sub>
          </m:sSub>
        </m:oMath>
      </w:r>
      <w:r>
        <w:rPr>
          <w:i/>
          <w:sz w:val="22"/>
        </w:rPr>
        <w:t xml:space="preserve"> = F</w:t>
      </w:r>
      <w:r>
        <w:rPr>
          <w:rStyle w:val="EquationNative"/>
        </w:rPr>
        <m:oMath>
          <m:sSub>
            <m:e/>
            <m:sub>
              <m:r>
                <m:t>s</m:t>
              </m:r>
            </m:sub>
          </m:sSub>
        </m:oMath>
      </w:r>
      <w:r>
        <w:rPr>
          <w:sz w:val="22"/>
        </w:rPr>
        <w:t xml:space="preserve"> · x</w:t>
      </w:r>
      <w:r>
        <w:rPr>
          <w:i/>
          <w:sz w:val="22"/>
        </w:rPr>
        <w:t xml:space="preserve">k−1</w:t>
      </w:r>
      <w:r>
        <w:rPr>
          <w:i/>
          <w:sz w:val="22"/>
        </w:rPr>
        <w:t xml:space="preserve"> + w</w:t>
      </w:r>
      <w:r>
        <w:rPr>
          <w:i/>
          <w:sz w:val="22"/>
        </w:rPr>
        <w:t xml:space="preserve">k−1</w:t>
      </w:r>
      <w:r>
        <w:rPr>
          <w:i/>
          <w:sz w:val="22"/>
        </w:rPr>
        <w:t xml:space="preserve">          F</w:t>
      </w:r>
      <w:r>
        <w:rPr>
          <w:rStyle w:val="EquationNative"/>
        </w:rPr>
        <m:oMath>
          <m:sSub>
            <m:e/>
            <m:sub>
              <m:r>
                <m:t>s</m:t>
              </m:r>
            </m:sub>
          </m:sSub>
        </m:oMath>
      </w:r>
      <w:r>
        <w:rPr>
          <w:sz w:val="22"/>
        </w:rPr>
        <w:t xml:space="preserve"> = [[1, 0, 0], [0, 1, Δt], [0, 0, 1]]</w:t>
      </w:r>
    </w:p>
    <w:p>
      <w:pPr>
        <w:jc w:val="both"/>
      </w:pPr>
      <w:r>
        <w:rPr>
          <w:rFonts w:ascii="Times New Roman" w:hAnsi="Times New Roman" w:eastAsia="宋体"/>
          <w:sz w:val="24"/>
        </w:rPr>
        <w:t>慢回路观测方程：</w:t>
      </w:r>
    </w:p>
    <w:p>
      <w:pPr>
        <w:jc w:val="center"/>
      </w:pPr>
      <w:r>
        <w:drawing>
          <wp:inline xmlns:a="http://schemas.openxmlformats.org/drawingml/2006/main" xmlns:pic="http://schemas.openxmlformats.org/drawingml/2006/picture">
            <wp:extent cx="5400000" cy="8037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r>
        <w:drawing>
          <wp:inline xmlns:a="http://schemas.openxmlformats.org/drawingml/2006/main" xmlns:pic="http://schemas.openxmlformats.org/drawingml/2006/picture">
            <wp:extent cx="5400000" cy="80372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r>
        <w:drawing>
          <wp:inline xmlns:a="http://schemas.openxmlformats.org/drawingml/2006/main" xmlns:pic="http://schemas.openxmlformats.org/drawingml/2006/picture">
            <wp:extent cx="5400000" cy="8037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r>
        <w:drawing>
          <wp:inline xmlns:a="http://schemas.openxmlformats.org/drawingml/2006/main" xmlns:pic="http://schemas.openxmlformats.org/drawingml/2006/picture">
            <wp:extent cx="5400000" cy="8037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r>
        <w:drawing>
          <wp:inline xmlns:a="http://schemas.openxmlformats.org/drawingml/2006/main" xmlns:pic="http://schemas.openxmlformats.org/drawingml/2006/picture">
            <wp:extent cx="5400000" cy="8037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r>
        <w:drawing>
          <wp:inline xmlns:a="http://schemas.openxmlformats.org/drawingml/2006/main" xmlns:pic="http://schemas.openxmlformats.org/drawingml/2006/picture">
            <wp:extent cx="5400000" cy="8037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频率分辨率Δf与采样参数的关系为：</w:t>
      </w:r>
    </w:p>
    <w:p>
      <w:pPr>
        <w:jc w:val="center"/>
      </w:pPr>
      <w:r>
        <w:drawing>
          <wp:inline xmlns:a="http://schemas.openxmlformats.org/drawingml/2006/main" xmlns:pic="http://schemas.openxmlformats.org/drawingml/2006/picture">
            <wp:extent cx="5400000" cy="80372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r>
        <w:drawing>
          <wp:inline xmlns:a="http://schemas.openxmlformats.org/drawingml/2006/main" xmlns:pic="http://schemas.openxmlformats.org/drawingml/2006/picture">
            <wp:extent cx="5400000" cy="8037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对应波长和波深为：</w:t>
      </w:r>
    </w:p>
    <w:p>
      <w:pPr>
        <w:jc w:val="center"/>
      </w:pPr>
      <w:r>
        <w:drawing>
          <wp:inline xmlns:a="http://schemas.openxmlformats.org/drawingml/2006/main" xmlns:pic="http://schemas.openxmlformats.org/drawingml/2006/picture">
            <wp:extent cx="5400000" cy="8037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r>
        <w:drawing>
          <wp:inline xmlns:a="http://schemas.openxmlformats.org/drawingml/2006/main" xmlns:pic="http://schemas.openxmlformats.org/drawingml/2006/picture">
            <wp:extent cx="5400000" cy="80372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L_cls为分类损失（交叉熵损失），L_reg为CIoU边界框回归损失：</w:t>
      </w:r>
    </w:p>
    <w:p>
      <w:pPr>
        <w:jc w:val="center"/>
      </w:pPr>
      <w:r>
        <w:drawing>
          <wp:inline xmlns:a="http://schemas.openxmlformats.org/drawingml/2006/main" xmlns:pic="http://schemas.openxmlformats.org/drawingml/2006/picture">
            <wp:extent cx="5400000" cy="80372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803721"/>
                    </a:xfrm>
                    <a:prstGeom prst="rect"/>
                  </pic:spPr>
                </pic:pic>
              </a:graphicData>
            </a:graphic>
          </wp:inline>
        </w:drawing>
      </w:r>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w:r>
        <w:rPr>
          <w:sz w:val="22"/>
        </w:rPr>
        <w:t xml:space="preserve">Xᵣₐᵢₗ = (u − u₀)(1 + k₁r²) · (dᵣₐᵢₗ / f) + X₀</w:t>
      </w:r>
      <w:r>
        <w:rPr>
          <w:sz w:val="22"/>
        </w:rPr>
        <w:t xml:space="preserve">          </w:t>
      </w:r>
      <w:r>
        <w:rPr>
          <w:sz w:val="22"/>
        </w:rPr>
        <w:t xml:space="preserve">Yᵣₐᵢₗ = (v − v₀)(1 + k₁r²) · (dᵣₐᵢₗ / f) + Y₀</w:t>
      </w:r>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r>
        <w:drawing>
          <wp:inline xmlns:a="http://schemas.openxmlformats.org/drawingml/2006/main" xmlns:pic="http://schemas.openxmlformats.org/drawingml/2006/picture">
            <wp:extent cx="5400000" cy="80372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轴比公式：</w:t>
      </w:r>
    </w:p>
    <w:p>
      <w:pPr>
        <w:jc w:val="center"/>
      </w:pPr>
      <w:r>
        <w:drawing>
          <wp:inline xmlns:a="http://schemas.openxmlformats.org/drawingml/2006/main" xmlns:pic="http://schemas.openxmlformats.org/drawingml/2006/picture">
            <wp:extent cx="5400000" cy="8037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r>
        <w:drawing>
          <wp:inline xmlns:a="http://schemas.openxmlformats.org/drawingml/2006/main" xmlns:pic="http://schemas.openxmlformats.org/drawingml/2006/picture">
            <wp:extent cx="5400000" cy="80372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Canny边缘梯度公式：</w:t>
      </w:r>
    </w:p>
    <w:p>
      <w:pPr>
        <w:jc w:val="center"/>
      </w:pPr>
      <w:r>
        <w:drawing>
          <wp:inline xmlns:a="http://schemas.openxmlformats.org/drawingml/2006/main" xmlns:pic="http://schemas.openxmlformats.org/drawingml/2006/picture">
            <wp:extent cx="5400000" cy="80372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OTSU自适应二值化阈值：</w:t>
      </w:r>
    </w:p>
    <w:p>
      <w:pPr>
        <w:jc w:val="center"/>
      </w:pPr>
      <w:r>
        <w:drawing>
          <wp:inline xmlns:a="http://schemas.openxmlformats.org/drawingml/2006/main" xmlns:pic="http://schemas.openxmlformats.org/drawingml/2006/picture">
            <wp:extent cx="5400000" cy="80372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r>
        <w:drawing>
          <wp:inline xmlns:a="http://schemas.openxmlformats.org/drawingml/2006/main" xmlns:pic="http://schemas.openxmlformats.org/drawingml/2006/picture">
            <wp:extent cx="5400000" cy="8037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轨距偏差：</w:t>
      </w:r>
    </w:p>
    <w:p>
      <w:pPr>
        <w:jc w:val="center"/>
      </w:pPr>
      <w:r>
        <w:drawing>
          <wp:inline xmlns:a="http://schemas.openxmlformats.org/drawingml/2006/main" xmlns:pic="http://schemas.openxmlformats.org/drawingml/2006/picture">
            <wp:extent cx="5400000" cy="80372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综合精度：</w:t>
      </w:r>
    </w:p>
    <w:p>
      <w:pPr>
        <w:jc w:val="center"/>
      </w:pPr>
      <w:r>
        <w:drawing>
          <wp:inline xmlns:a="http://schemas.openxmlformats.org/drawingml/2006/main" xmlns:pic="http://schemas.openxmlformats.org/drawingml/2006/picture">
            <wp:extent cx="5400000" cy="80372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r>
        <w:drawing>
          <wp:inline xmlns:a="http://schemas.openxmlformats.org/drawingml/2006/main" xmlns:pic="http://schemas.openxmlformats.org/drawingml/2006/picture">
            <wp:extent cx="5400000" cy="80372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误差分析：</w:t>
      </w:r>
    </w:p>
    <w:p>
      <w:pPr>
        <w:jc w:val="center"/>
      </w:pPr>
      <w:r>
        <w:drawing>
          <wp:inline xmlns:a="http://schemas.openxmlformats.org/drawingml/2006/main" xmlns:pic="http://schemas.openxmlformats.org/drawingml/2006/picture">
            <wp:extent cx="5400000" cy="803721"/>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本文围绕"综合检测能力"这一核心主线，面向铁路线路综合检测场景，从时空对齐机制、融合判定算法两个方面开展了系统性研究。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