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780482" w14:textId="77777777" w:rsidR="00261EC6" w:rsidRDefault="00261EC6">
      <w:pPr>
        <w:autoSpaceDE w:val="0"/>
        <w:autoSpaceDN w:val="0"/>
        <w:adjustRightInd w:val="0"/>
        <w:spacing w:line="240" w:lineRule="atLeast"/>
        <w:jc w:val="center"/>
        <w:rPr>
          <w:rFonts w:cs="Times New Roman"/>
          <w:b/>
          <w:kern w:val="0"/>
          <w:sz w:val="40"/>
          <w:szCs w:val="44"/>
        </w:rPr>
      </w:pPr>
    </w:p>
    <w:p w14:paraId="2F780483" w14:textId="77777777" w:rsidR="00261EC6" w:rsidRDefault="00261EC6">
      <w:pPr>
        <w:autoSpaceDE w:val="0"/>
        <w:autoSpaceDN w:val="0"/>
        <w:adjustRightInd w:val="0"/>
        <w:spacing w:line="240" w:lineRule="atLeast"/>
        <w:jc w:val="center"/>
        <w:rPr>
          <w:rFonts w:cs="Times New Roman"/>
          <w:b/>
          <w:kern w:val="0"/>
          <w:sz w:val="40"/>
          <w:szCs w:val="44"/>
        </w:rPr>
      </w:pPr>
    </w:p>
    <w:p w14:paraId="2F780484" w14:textId="77777777" w:rsidR="00261EC6" w:rsidRDefault="00261EC6">
      <w:pPr>
        <w:autoSpaceDE w:val="0"/>
        <w:autoSpaceDN w:val="0"/>
        <w:adjustRightInd w:val="0"/>
        <w:spacing w:line="240" w:lineRule="atLeast"/>
        <w:jc w:val="center"/>
        <w:rPr>
          <w:rFonts w:cs="Times New Roman"/>
          <w:b/>
          <w:kern w:val="0"/>
          <w:sz w:val="40"/>
          <w:szCs w:val="44"/>
        </w:rPr>
      </w:pPr>
    </w:p>
    <w:p w14:paraId="2F780485" w14:textId="77777777" w:rsidR="00261EC6" w:rsidRDefault="00261EC6">
      <w:pPr>
        <w:autoSpaceDE w:val="0"/>
        <w:autoSpaceDN w:val="0"/>
        <w:adjustRightInd w:val="0"/>
        <w:spacing w:line="240" w:lineRule="atLeast"/>
        <w:jc w:val="center"/>
        <w:rPr>
          <w:rFonts w:cs="Times New Roman"/>
          <w:b/>
          <w:kern w:val="0"/>
          <w:sz w:val="40"/>
          <w:szCs w:val="44"/>
        </w:rPr>
      </w:pPr>
    </w:p>
    <w:p w14:paraId="4DCA0482" w14:textId="048187B5" w:rsidR="008B1A5C" w:rsidRDefault="00E2491A">
      <w:pPr>
        <w:autoSpaceDE w:val="0"/>
        <w:autoSpaceDN w:val="0"/>
        <w:adjustRightInd w:val="0"/>
        <w:jc w:val="center"/>
        <w:rPr>
          <w:rFonts w:asciiTheme="majorEastAsia" w:eastAsiaTheme="majorEastAsia" w:hAnsiTheme="majorEastAsia" w:cstheme="majorEastAsia"/>
          <w:b/>
          <w:kern w:val="0"/>
          <w:sz w:val="40"/>
          <w:szCs w:val="44"/>
        </w:rPr>
      </w:pPr>
      <w:r>
        <w:rPr>
          <w:rFonts w:asciiTheme="majorEastAsia" w:eastAsiaTheme="majorEastAsia" w:hAnsiTheme="majorEastAsia" w:cstheme="majorEastAsia" w:hint="eastAsia"/>
          <w:b/>
          <w:kern w:val="0"/>
          <w:sz w:val="40"/>
          <w:szCs w:val="44"/>
        </w:rPr>
        <w:t>{{</w:t>
      </w:r>
      <w:r w:rsidR="00E45FF9">
        <w:rPr>
          <w:rFonts w:asciiTheme="majorEastAsia" w:eastAsiaTheme="majorEastAsia" w:hAnsiTheme="majorEastAsia" w:cstheme="majorEastAsia"/>
          <w:b/>
          <w:kern w:val="0"/>
          <w:sz w:val="40"/>
          <w:szCs w:val="44"/>
        </w:rPr>
        <w:t>reportTitle</w:t>
      </w:r>
      <w:r>
        <w:rPr>
          <w:rFonts w:asciiTheme="majorEastAsia" w:eastAsiaTheme="majorEastAsia" w:hAnsiTheme="majorEastAsia" w:cstheme="majorEastAsia" w:hint="eastAsia"/>
          <w:b/>
          <w:kern w:val="0"/>
          <w:sz w:val="40"/>
          <w:szCs w:val="44"/>
        </w:rPr>
        <w:t>}}</w:t>
      </w:r>
    </w:p>
    <w:p w14:paraId="2F780486" w14:textId="5252CE87" w:rsidR="00261EC6" w:rsidRDefault="00FF4B42">
      <w:pPr>
        <w:autoSpaceDE w:val="0"/>
        <w:autoSpaceDN w:val="0"/>
        <w:adjustRightInd w:val="0"/>
        <w:jc w:val="center"/>
        <w:rPr>
          <w:rFonts w:asciiTheme="majorEastAsia" w:eastAsiaTheme="majorEastAsia" w:hAnsiTheme="majorEastAsia" w:cstheme="majorEastAsia"/>
          <w:b/>
          <w:sz w:val="40"/>
          <w:szCs w:val="44"/>
        </w:rPr>
      </w:pPr>
      <w:r>
        <w:rPr>
          <w:rFonts w:asciiTheme="majorEastAsia" w:eastAsiaTheme="majorEastAsia" w:hAnsiTheme="majorEastAsia" w:cstheme="majorEastAsia" w:hint="eastAsia"/>
          <w:b/>
          <w:kern w:val="0"/>
          <w:sz w:val="40"/>
          <w:szCs w:val="44"/>
        </w:rPr>
        <w:t>高后果区识别报告</w:t>
      </w:r>
    </w:p>
    <w:p w14:paraId="2F780488" w14:textId="77777777" w:rsidR="00261EC6" w:rsidRDefault="00261EC6">
      <w:pPr>
        <w:autoSpaceDE w:val="0"/>
        <w:autoSpaceDN w:val="0"/>
        <w:adjustRightInd w:val="0"/>
        <w:jc w:val="center"/>
        <w:rPr>
          <w:rFonts w:cs="Times New Roman"/>
          <w:b/>
          <w:kern w:val="0"/>
          <w:sz w:val="32"/>
          <w:szCs w:val="36"/>
        </w:rPr>
      </w:pPr>
    </w:p>
    <w:p w14:paraId="2F780489" w14:textId="77777777" w:rsidR="00261EC6" w:rsidRDefault="00261EC6">
      <w:pPr>
        <w:autoSpaceDE w:val="0"/>
        <w:autoSpaceDN w:val="0"/>
        <w:adjustRightInd w:val="0"/>
        <w:jc w:val="center"/>
        <w:rPr>
          <w:rFonts w:cs="Times New Roman"/>
          <w:b/>
          <w:kern w:val="0"/>
          <w:sz w:val="32"/>
          <w:szCs w:val="36"/>
        </w:rPr>
      </w:pPr>
    </w:p>
    <w:p w14:paraId="2F78048A" w14:textId="77777777" w:rsidR="00261EC6" w:rsidRDefault="00261EC6">
      <w:pPr>
        <w:autoSpaceDE w:val="0"/>
        <w:autoSpaceDN w:val="0"/>
        <w:adjustRightInd w:val="0"/>
        <w:jc w:val="center"/>
        <w:rPr>
          <w:rFonts w:cs="Times New Roman"/>
          <w:b/>
          <w:kern w:val="0"/>
          <w:sz w:val="32"/>
          <w:szCs w:val="36"/>
        </w:rPr>
      </w:pPr>
    </w:p>
    <w:p w14:paraId="2F78048B" w14:textId="77777777" w:rsidR="00261EC6" w:rsidRDefault="00261EC6">
      <w:pPr>
        <w:autoSpaceDE w:val="0"/>
        <w:autoSpaceDN w:val="0"/>
        <w:adjustRightInd w:val="0"/>
        <w:jc w:val="center"/>
        <w:rPr>
          <w:rFonts w:cs="Times New Roman"/>
          <w:b/>
          <w:kern w:val="0"/>
          <w:sz w:val="32"/>
          <w:szCs w:val="36"/>
        </w:rPr>
      </w:pPr>
    </w:p>
    <w:p w14:paraId="2F78048C" w14:textId="77777777" w:rsidR="00261EC6" w:rsidRDefault="00261EC6">
      <w:pPr>
        <w:autoSpaceDE w:val="0"/>
        <w:autoSpaceDN w:val="0"/>
        <w:adjustRightInd w:val="0"/>
        <w:jc w:val="center"/>
        <w:rPr>
          <w:rFonts w:cs="Times New Roman"/>
          <w:b/>
          <w:kern w:val="0"/>
          <w:sz w:val="32"/>
          <w:szCs w:val="36"/>
        </w:rPr>
      </w:pPr>
    </w:p>
    <w:p w14:paraId="2F78048D" w14:textId="77777777" w:rsidR="00261EC6" w:rsidRDefault="00261EC6">
      <w:pPr>
        <w:autoSpaceDE w:val="0"/>
        <w:autoSpaceDN w:val="0"/>
        <w:adjustRightInd w:val="0"/>
        <w:jc w:val="center"/>
        <w:rPr>
          <w:rFonts w:cs="Times New Roman"/>
          <w:b/>
          <w:kern w:val="0"/>
          <w:sz w:val="32"/>
          <w:szCs w:val="36"/>
        </w:rPr>
      </w:pPr>
    </w:p>
    <w:p w14:paraId="2F78048E" w14:textId="77777777" w:rsidR="00261EC6" w:rsidRDefault="00261EC6">
      <w:pPr>
        <w:autoSpaceDE w:val="0"/>
        <w:autoSpaceDN w:val="0"/>
        <w:adjustRightInd w:val="0"/>
        <w:jc w:val="center"/>
        <w:rPr>
          <w:rFonts w:cs="Times New Roman"/>
          <w:b/>
          <w:kern w:val="0"/>
          <w:sz w:val="32"/>
          <w:szCs w:val="36"/>
        </w:rPr>
      </w:pPr>
    </w:p>
    <w:p w14:paraId="2F78048F" w14:textId="77777777" w:rsidR="00261EC6" w:rsidRDefault="00261EC6">
      <w:pPr>
        <w:autoSpaceDE w:val="0"/>
        <w:autoSpaceDN w:val="0"/>
        <w:adjustRightInd w:val="0"/>
        <w:jc w:val="center"/>
        <w:rPr>
          <w:rFonts w:cs="Times New Roman"/>
          <w:b/>
          <w:kern w:val="0"/>
          <w:sz w:val="32"/>
          <w:szCs w:val="36"/>
        </w:rPr>
      </w:pPr>
    </w:p>
    <w:p w14:paraId="2F780490" w14:textId="77777777" w:rsidR="00261EC6" w:rsidRDefault="00261EC6">
      <w:pPr>
        <w:autoSpaceDE w:val="0"/>
        <w:autoSpaceDN w:val="0"/>
        <w:adjustRightInd w:val="0"/>
        <w:jc w:val="center"/>
        <w:rPr>
          <w:rFonts w:cs="Times New Roman"/>
          <w:b/>
          <w:kern w:val="0"/>
          <w:sz w:val="32"/>
          <w:szCs w:val="36"/>
        </w:rPr>
      </w:pPr>
    </w:p>
    <w:p w14:paraId="2F780495" w14:textId="77777777" w:rsidR="00261EC6" w:rsidRDefault="00261EC6">
      <w:pPr>
        <w:autoSpaceDE w:val="0"/>
        <w:autoSpaceDN w:val="0"/>
        <w:adjustRightInd w:val="0"/>
        <w:jc w:val="center"/>
        <w:rPr>
          <w:rFonts w:cs="Times New Roman"/>
          <w:b/>
          <w:kern w:val="0"/>
          <w:sz w:val="32"/>
          <w:szCs w:val="36"/>
        </w:rPr>
      </w:pPr>
    </w:p>
    <w:p w14:paraId="2F780496" w14:textId="35721D35" w:rsidR="00261EC6" w:rsidRDefault="00FF4B42">
      <w:pPr>
        <w:jc w:val="center"/>
        <w:rPr>
          <w:rFonts w:asciiTheme="minorEastAsia" w:hAnsiTheme="minorEastAsia" w:cstheme="minorEastAsia"/>
          <w:b/>
          <w:spacing w:val="-20"/>
          <w:sz w:val="28"/>
          <w:szCs w:val="28"/>
        </w:rPr>
      </w:pPr>
      <w:r>
        <w:rPr>
          <w:rFonts w:asciiTheme="minorEastAsia" w:hAnsiTheme="minorEastAsia" w:cstheme="minorEastAsia" w:hint="eastAsia"/>
          <w:b/>
          <w:spacing w:val="-20"/>
          <w:sz w:val="28"/>
          <w:szCs w:val="28"/>
        </w:rPr>
        <w:t>编制单位：</w:t>
      </w:r>
      <w:r w:rsidR="0024150A">
        <w:rPr>
          <w:rFonts w:asciiTheme="minorEastAsia" w:hAnsiTheme="minorEastAsia" w:cstheme="minorEastAsia" w:hint="eastAsia"/>
          <w:b/>
          <w:spacing w:val="-20"/>
          <w:sz w:val="28"/>
          <w:szCs w:val="28"/>
        </w:rPr>
        <w:t>中盈安信技术服务股份有限公司</w:t>
      </w:r>
    </w:p>
    <w:p w14:paraId="2F780497" w14:textId="55B927E7" w:rsidR="00261EC6" w:rsidRDefault="00DC079F">
      <w:pPr>
        <w:adjustRightInd w:val="0"/>
        <w:snapToGrid w:val="0"/>
        <w:ind w:leftChars="-350" w:left="-840" w:firstLine="562"/>
        <w:jc w:val="center"/>
        <w:rPr>
          <w:rFonts w:eastAsia="宋体" w:cs="Times New Roman"/>
          <w:b/>
          <w:sz w:val="28"/>
          <w:szCs w:val="36"/>
        </w:rPr>
      </w:pPr>
      <w:r>
        <w:rPr>
          <w:rFonts w:asciiTheme="minorEastAsia" w:hAnsiTheme="minorEastAsia" w:cstheme="minorEastAsia" w:hint="eastAsia"/>
          <w:b/>
          <w:sz w:val="28"/>
          <w:szCs w:val="36"/>
        </w:rPr>
        <w:t>{{</w:t>
      </w:r>
      <w:r w:rsidRPr="00DC079F">
        <w:rPr>
          <w:rFonts w:asciiTheme="minorEastAsia" w:hAnsiTheme="minorEastAsia" w:cstheme="minorEastAsia"/>
          <w:b/>
          <w:sz w:val="28"/>
          <w:szCs w:val="36"/>
        </w:rPr>
        <w:t>reportTime</w:t>
      </w:r>
      <w:r>
        <w:rPr>
          <w:rFonts w:asciiTheme="minorEastAsia" w:hAnsiTheme="minorEastAsia" w:cstheme="minorEastAsia" w:hint="eastAsia"/>
          <w:b/>
          <w:sz w:val="28"/>
          <w:szCs w:val="36"/>
        </w:rPr>
        <w:t>}}</w:t>
      </w:r>
      <w:r w:rsidR="00FF4B42">
        <w:rPr>
          <w:rFonts w:eastAsia="宋体" w:cs="Times New Roman"/>
          <w:b/>
          <w:sz w:val="28"/>
          <w:szCs w:val="36"/>
        </w:rPr>
        <w:br w:type="page"/>
      </w:r>
    </w:p>
    <w:p w14:paraId="2F78049F" w14:textId="77777777" w:rsidR="00261EC6" w:rsidRDefault="00FF4B42">
      <w:pPr>
        <w:jc w:val="center"/>
        <w:rPr>
          <w:b/>
          <w:bCs/>
          <w:sz w:val="40"/>
          <w:szCs w:val="36"/>
        </w:rPr>
      </w:pPr>
      <w:r>
        <w:rPr>
          <w:b/>
          <w:bCs/>
          <w:sz w:val="40"/>
          <w:szCs w:val="36"/>
        </w:rPr>
        <w:lastRenderedPageBreak/>
        <w:t>目</w:t>
      </w:r>
      <w:r>
        <w:rPr>
          <w:b/>
          <w:bCs/>
          <w:sz w:val="40"/>
          <w:szCs w:val="36"/>
        </w:rPr>
        <w:t xml:space="preserve">  </w:t>
      </w:r>
      <w:r>
        <w:rPr>
          <w:b/>
          <w:bCs/>
          <w:sz w:val="40"/>
          <w:szCs w:val="36"/>
        </w:rPr>
        <w:t>录</w:t>
      </w:r>
    </w:p>
    <w:p w14:paraId="76AACB3A" w14:textId="77777777" w:rsidR="007D71C6" w:rsidRDefault="00FF4B42">
      <w:pPr>
        <w:pStyle w:val="10"/>
        <w:tabs>
          <w:tab w:val="right" w:leader="dot" w:pos="8296"/>
        </w:tabs>
        <w:rPr>
          <w:rFonts w:asciiTheme="minorHAnsi" w:hAnsiTheme="minorHAnsi"/>
          <w:noProof/>
          <w:sz w:val="21"/>
        </w:rPr>
      </w:pPr>
      <w:r>
        <w:rPr>
          <w:rFonts w:asciiTheme="minorEastAsia" w:hAnsiTheme="minorEastAsia" w:cstheme="minorEastAsia" w:hint="eastAsia"/>
          <w:b/>
          <w:szCs w:val="24"/>
        </w:rPr>
        <w:fldChar w:fldCharType="begin"/>
      </w:r>
      <w:r>
        <w:rPr>
          <w:rFonts w:asciiTheme="minorEastAsia" w:hAnsiTheme="minorEastAsia" w:cstheme="minorEastAsia" w:hint="eastAsia"/>
          <w:b/>
          <w:szCs w:val="24"/>
        </w:rPr>
        <w:instrText xml:space="preserve"> TOC \* MERGEFORMAT </w:instrText>
      </w:r>
      <w:r>
        <w:rPr>
          <w:rFonts w:asciiTheme="minorEastAsia" w:hAnsiTheme="minorEastAsia" w:cstheme="minorEastAsia" w:hint="eastAsia"/>
          <w:b/>
          <w:szCs w:val="24"/>
        </w:rPr>
        <w:fldChar w:fldCharType="separate"/>
      </w:r>
      <w:r w:rsidR="007D71C6" w:rsidRPr="00317D6C">
        <w:rPr>
          <w:rFonts w:cs="Times New Roman" w:hint="eastAsia"/>
          <w:noProof/>
        </w:rPr>
        <w:t>一、</w:t>
      </w:r>
      <w:r w:rsidR="007D71C6" w:rsidRPr="00317D6C">
        <w:rPr>
          <w:rFonts w:cs="Times New Roman" w:hint="eastAsia"/>
          <w:noProof/>
        </w:rPr>
        <w:t xml:space="preserve"> </w:t>
      </w:r>
      <w:r w:rsidR="007D71C6" w:rsidRPr="00317D6C">
        <w:rPr>
          <w:rFonts w:cs="Times New Roman" w:hint="eastAsia"/>
          <w:noProof/>
        </w:rPr>
        <w:t>项目简介</w:t>
      </w:r>
      <w:r w:rsidR="007D71C6">
        <w:rPr>
          <w:noProof/>
        </w:rPr>
        <w:tab/>
      </w:r>
      <w:r w:rsidR="007D71C6">
        <w:rPr>
          <w:noProof/>
        </w:rPr>
        <w:fldChar w:fldCharType="begin"/>
      </w:r>
      <w:r w:rsidR="007D71C6">
        <w:rPr>
          <w:noProof/>
        </w:rPr>
        <w:instrText xml:space="preserve"> PAGEREF _Toc16608622 \h </w:instrText>
      </w:r>
      <w:r w:rsidR="007D71C6">
        <w:rPr>
          <w:noProof/>
        </w:rPr>
      </w:r>
      <w:r w:rsidR="007D71C6">
        <w:rPr>
          <w:noProof/>
        </w:rPr>
        <w:fldChar w:fldCharType="separate"/>
      </w:r>
      <w:r w:rsidR="007D71C6">
        <w:rPr>
          <w:noProof/>
        </w:rPr>
        <w:t>- 1 -</w:t>
      </w:r>
      <w:r w:rsidR="007D71C6">
        <w:rPr>
          <w:noProof/>
        </w:rPr>
        <w:fldChar w:fldCharType="end"/>
      </w:r>
    </w:p>
    <w:p w14:paraId="114360FE" w14:textId="77777777" w:rsidR="007D71C6" w:rsidRDefault="007D71C6">
      <w:pPr>
        <w:pStyle w:val="20"/>
        <w:tabs>
          <w:tab w:val="right" w:leader="dot" w:pos="8296"/>
        </w:tabs>
        <w:ind w:left="480"/>
        <w:rPr>
          <w:rFonts w:asciiTheme="minorHAnsi" w:hAnsiTheme="minorHAnsi"/>
          <w:noProof/>
          <w:sz w:val="21"/>
        </w:rPr>
      </w:pPr>
      <w:r w:rsidRPr="00317D6C">
        <w:rPr>
          <w:rFonts w:cs="Times New Roman"/>
          <w:noProof/>
        </w:rPr>
        <w:t>1.1</w:t>
      </w:r>
      <w:r w:rsidRPr="00317D6C">
        <w:rPr>
          <w:rFonts w:cs="Times New Roman" w:hint="eastAsia"/>
          <w:noProof/>
        </w:rPr>
        <w:t xml:space="preserve"> </w:t>
      </w:r>
      <w:r w:rsidRPr="00317D6C">
        <w:rPr>
          <w:rFonts w:cs="Times New Roman" w:hint="eastAsia"/>
          <w:noProof/>
        </w:rPr>
        <w:t>项目简述</w:t>
      </w:r>
      <w:r>
        <w:rPr>
          <w:noProof/>
        </w:rPr>
        <w:tab/>
      </w:r>
      <w:r>
        <w:rPr>
          <w:noProof/>
        </w:rPr>
        <w:fldChar w:fldCharType="begin"/>
      </w:r>
      <w:r>
        <w:rPr>
          <w:noProof/>
        </w:rPr>
        <w:instrText xml:space="preserve"> PAGEREF _Toc16608623 \h </w:instrText>
      </w:r>
      <w:r>
        <w:rPr>
          <w:noProof/>
        </w:rPr>
      </w:r>
      <w:r>
        <w:rPr>
          <w:noProof/>
        </w:rPr>
        <w:fldChar w:fldCharType="separate"/>
      </w:r>
      <w:r>
        <w:rPr>
          <w:noProof/>
        </w:rPr>
        <w:t>- 1 -</w:t>
      </w:r>
      <w:r>
        <w:rPr>
          <w:noProof/>
        </w:rPr>
        <w:fldChar w:fldCharType="end"/>
      </w:r>
    </w:p>
    <w:p w14:paraId="60EC998F" w14:textId="77777777" w:rsidR="007D71C6" w:rsidRDefault="007D71C6">
      <w:pPr>
        <w:pStyle w:val="10"/>
        <w:tabs>
          <w:tab w:val="right" w:leader="dot" w:pos="8296"/>
        </w:tabs>
        <w:rPr>
          <w:rFonts w:asciiTheme="minorHAnsi" w:hAnsiTheme="minorHAnsi"/>
          <w:noProof/>
          <w:sz w:val="21"/>
        </w:rPr>
      </w:pPr>
      <w:r w:rsidRPr="00317D6C">
        <w:rPr>
          <w:rFonts w:cs="Times New Roman" w:hint="eastAsia"/>
          <w:noProof/>
        </w:rPr>
        <w:t>二、</w:t>
      </w:r>
      <w:r w:rsidRPr="00317D6C">
        <w:rPr>
          <w:rFonts w:cs="Times New Roman" w:hint="eastAsia"/>
          <w:noProof/>
        </w:rPr>
        <w:t xml:space="preserve"> </w:t>
      </w:r>
      <w:r w:rsidRPr="00317D6C">
        <w:rPr>
          <w:rFonts w:cs="Times New Roman" w:hint="eastAsia"/>
          <w:noProof/>
        </w:rPr>
        <w:t>管线情况概述</w:t>
      </w:r>
      <w:r>
        <w:rPr>
          <w:noProof/>
        </w:rPr>
        <w:tab/>
      </w:r>
      <w:r>
        <w:rPr>
          <w:noProof/>
        </w:rPr>
        <w:fldChar w:fldCharType="begin"/>
      </w:r>
      <w:r>
        <w:rPr>
          <w:noProof/>
        </w:rPr>
        <w:instrText xml:space="preserve"> PAGEREF _Toc16608624 \h </w:instrText>
      </w:r>
      <w:r>
        <w:rPr>
          <w:noProof/>
        </w:rPr>
      </w:r>
      <w:r>
        <w:rPr>
          <w:noProof/>
        </w:rPr>
        <w:fldChar w:fldCharType="separate"/>
      </w:r>
      <w:r>
        <w:rPr>
          <w:noProof/>
        </w:rPr>
        <w:t>- 1 -</w:t>
      </w:r>
      <w:r>
        <w:rPr>
          <w:noProof/>
        </w:rPr>
        <w:fldChar w:fldCharType="end"/>
      </w:r>
    </w:p>
    <w:p w14:paraId="6FCBE002" w14:textId="77777777" w:rsidR="007D71C6" w:rsidRDefault="007D71C6">
      <w:pPr>
        <w:pStyle w:val="20"/>
        <w:tabs>
          <w:tab w:val="right" w:leader="dot" w:pos="8296"/>
        </w:tabs>
        <w:ind w:left="480"/>
        <w:rPr>
          <w:rFonts w:asciiTheme="minorHAnsi" w:hAnsiTheme="minorHAnsi"/>
          <w:noProof/>
          <w:sz w:val="21"/>
        </w:rPr>
      </w:pPr>
      <w:r w:rsidRPr="00317D6C">
        <w:rPr>
          <w:rFonts w:cs="Times New Roman"/>
          <w:noProof/>
        </w:rPr>
        <w:t xml:space="preserve">2.1 </w:t>
      </w:r>
      <w:r w:rsidRPr="00317D6C">
        <w:rPr>
          <w:rFonts w:cs="Times New Roman" w:hint="eastAsia"/>
          <w:noProof/>
        </w:rPr>
        <w:t>管道基本信息</w:t>
      </w:r>
      <w:r>
        <w:rPr>
          <w:noProof/>
        </w:rPr>
        <w:tab/>
      </w:r>
      <w:r>
        <w:rPr>
          <w:noProof/>
        </w:rPr>
        <w:fldChar w:fldCharType="begin"/>
      </w:r>
      <w:r>
        <w:rPr>
          <w:noProof/>
        </w:rPr>
        <w:instrText xml:space="preserve"> PAGEREF _Toc16608625 \h </w:instrText>
      </w:r>
      <w:r>
        <w:rPr>
          <w:noProof/>
        </w:rPr>
      </w:r>
      <w:r>
        <w:rPr>
          <w:noProof/>
        </w:rPr>
        <w:fldChar w:fldCharType="separate"/>
      </w:r>
      <w:r>
        <w:rPr>
          <w:noProof/>
        </w:rPr>
        <w:t>- 1 -</w:t>
      </w:r>
      <w:r>
        <w:rPr>
          <w:noProof/>
        </w:rPr>
        <w:fldChar w:fldCharType="end"/>
      </w:r>
    </w:p>
    <w:p w14:paraId="7B5D9D7E" w14:textId="77777777" w:rsidR="007D71C6" w:rsidRDefault="007D71C6">
      <w:pPr>
        <w:pStyle w:val="10"/>
        <w:tabs>
          <w:tab w:val="right" w:leader="dot" w:pos="8296"/>
        </w:tabs>
        <w:rPr>
          <w:rFonts w:asciiTheme="minorHAnsi" w:hAnsiTheme="minorHAnsi"/>
          <w:noProof/>
          <w:sz w:val="21"/>
        </w:rPr>
      </w:pPr>
      <w:r w:rsidRPr="00317D6C">
        <w:rPr>
          <w:rFonts w:cs="Times New Roman" w:hint="eastAsia"/>
          <w:noProof/>
        </w:rPr>
        <w:t>三、</w:t>
      </w:r>
      <w:r w:rsidRPr="00317D6C">
        <w:rPr>
          <w:rFonts w:cs="Times New Roman" w:hint="eastAsia"/>
          <w:noProof/>
        </w:rPr>
        <w:t xml:space="preserve"> </w:t>
      </w:r>
      <w:r w:rsidRPr="00317D6C">
        <w:rPr>
          <w:rFonts w:cs="Times New Roman" w:hint="eastAsia"/>
          <w:noProof/>
        </w:rPr>
        <w:t>管道高后果区识别方法介绍</w:t>
      </w:r>
      <w:r>
        <w:rPr>
          <w:noProof/>
        </w:rPr>
        <w:tab/>
      </w:r>
      <w:r>
        <w:rPr>
          <w:noProof/>
        </w:rPr>
        <w:fldChar w:fldCharType="begin"/>
      </w:r>
      <w:r>
        <w:rPr>
          <w:noProof/>
        </w:rPr>
        <w:instrText xml:space="preserve"> PAGEREF _Toc16608626 \h </w:instrText>
      </w:r>
      <w:r>
        <w:rPr>
          <w:noProof/>
        </w:rPr>
      </w:r>
      <w:r>
        <w:rPr>
          <w:noProof/>
        </w:rPr>
        <w:fldChar w:fldCharType="separate"/>
      </w:r>
      <w:r>
        <w:rPr>
          <w:noProof/>
        </w:rPr>
        <w:t>- 1 -</w:t>
      </w:r>
      <w:r>
        <w:rPr>
          <w:noProof/>
        </w:rPr>
        <w:fldChar w:fldCharType="end"/>
      </w:r>
    </w:p>
    <w:p w14:paraId="516FD2D9" w14:textId="77777777" w:rsidR="007D71C6" w:rsidRDefault="007D71C6">
      <w:pPr>
        <w:pStyle w:val="20"/>
        <w:tabs>
          <w:tab w:val="right" w:leader="dot" w:pos="8296"/>
        </w:tabs>
        <w:ind w:left="480"/>
        <w:rPr>
          <w:rFonts w:asciiTheme="minorHAnsi" w:hAnsiTheme="minorHAnsi"/>
          <w:noProof/>
          <w:sz w:val="21"/>
        </w:rPr>
      </w:pPr>
      <w:r w:rsidRPr="00317D6C">
        <w:rPr>
          <w:rFonts w:cs="Times New Roman"/>
          <w:noProof/>
        </w:rPr>
        <w:t>3.1</w:t>
      </w:r>
      <w:r w:rsidRPr="00317D6C">
        <w:rPr>
          <w:rFonts w:cs="Times New Roman" w:hint="eastAsia"/>
          <w:noProof/>
        </w:rPr>
        <w:t>定义及意义</w:t>
      </w:r>
      <w:r>
        <w:rPr>
          <w:noProof/>
        </w:rPr>
        <w:tab/>
      </w:r>
      <w:r>
        <w:rPr>
          <w:noProof/>
        </w:rPr>
        <w:fldChar w:fldCharType="begin"/>
      </w:r>
      <w:r>
        <w:rPr>
          <w:noProof/>
        </w:rPr>
        <w:instrText xml:space="preserve"> PAGEREF _Toc16608627 \h </w:instrText>
      </w:r>
      <w:r>
        <w:rPr>
          <w:noProof/>
        </w:rPr>
      </w:r>
      <w:r>
        <w:rPr>
          <w:noProof/>
        </w:rPr>
        <w:fldChar w:fldCharType="separate"/>
      </w:r>
      <w:r>
        <w:rPr>
          <w:noProof/>
        </w:rPr>
        <w:t>- 1 -</w:t>
      </w:r>
      <w:r>
        <w:rPr>
          <w:noProof/>
        </w:rPr>
        <w:fldChar w:fldCharType="end"/>
      </w:r>
    </w:p>
    <w:p w14:paraId="49F8B436" w14:textId="77777777" w:rsidR="007D71C6" w:rsidRDefault="007D71C6">
      <w:pPr>
        <w:pStyle w:val="20"/>
        <w:tabs>
          <w:tab w:val="right" w:leader="dot" w:pos="8296"/>
        </w:tabs>
        <w:ind w:left="480"/>
        <w:rPr>
          <w:rFonts w:asciiTheme="minorHAnsi" w:hAnsiTheme="minorHAnsi"/>
          <w:noProof/>
          <w:sz w:val="21"/>
        </w:rPr>
      </w:pPr>
      <w:r w:rsidRPr="00317D6C">
        <w:rPr>
          <w:rFonts w:cs="Times New Roman"/>
          <w:noProof/>
        </w:rPr>
        <w:t>3.2</w:t>
      </w:r>
      <w:r w:rsidRPr="00317D6C">
        <w:rPr>
          <w:rFonts w:cs="Times New Roman" w:hint="eastAsia"/>
          <w:noProof/>
        </w:rPr>
        <w:t>国内外做法及要求</w:t>
      </w:r>
      <w:r>
        <w:rPr>
          <w:noProof/>
        </w:rPr>
        <w:tab/>
      </w:r>
      <w:r>
        <w:rPr>
          <w:noProof/>
        </w:rPr>
        <w:fldChar w:fldCharType="begin"/>
      </w:r>
      <w:r>
        <w:rPr>
          <w:noProof/>
        </w:rPr>
        <w:instrText xml:space="preserve"> PAGEREF _Toc16608628 \h </w:instrText>
      </w:r>
      <w:r>
        <w:rPr>
          <w:noProof/>
        </w:rPr>
      </w:r>
      <w:r>
        <w:rPr>
          <w:noProof/>
        </w:rPr>
        <w:fldChar w:fldCharType="separate"/>
      </w:r>
      <w:r>
        <w:rPr>
          <w:noProof/>
        </w:rPr>
        <w:t>- 2 -</w:t>
      </w:r>
      <w:r>
        <w:rPr>
          <w:noProof/>
        </w:rPr>
        <w:fldChar w:fldCharType="end"/>
      </w:r>
    </w:p>
    <w:p w14:paraId="65264C3D" w14:textId="77777777" w:rsidR="007D71C6" w:rsidRDefault="007D71C6">
      <w:pPr>
        <w:pStyle w:val="20"/>
        <w:tabs>
          <w:tab w:val="right" w:leader="dot" w:pos="8296"/>
        </w:tabs>
        <w:ind w:left="480"/>
        <w:rPr>
          <w:rFonts w:asciiTheme="minorHAnsi" w:hAnsiTheme="minorHAnsi"/>
          <w:noProof/>
          <w:sz w:val="21"/>
        </w:rPr>
      </w:pPr>
      <w:r w:rsidRPr="00317D6C">
        <w:rPr>
          <w:rFonts w:cs="Times New Roman"/>
          <w:noProof/>
        </w:rPr>
        <w:t>3.3</w:t>
      </w:r>
      <w:r w:rsidRPr="00317D6C">
        <w:rPr>
          <w:rFonts w:cs="Times New Roman" w:hint="eastAsia"/>
          <w:noProof/>
        </w:rPr>
        <w:t>相关技术标准</w:t>
      </w:r>
      <w:r>
        <w:rPr>
          <w:noProof/>
        </w:rPr>
        <w:tab/>
      </w:r>
      <w:r>
        <w:rPr>
          <w:noProof/>
        </w:rPr>
        <w:fldChar w:fldCharType="begin"/>
      </w:r>
      <w:r>
        <w:rPr>
          <w:noProof/>
        </w:rPr>
        <w:instrText xml:space="preserve"> PAGEREF _Toc16608629 \h </w:instrText>
      </w:r>
      <w:r>
        <w:rPr>
          <w:noProof/>
        </w:rPr>
      </w:r>
      <w:r>
        <w:rPr>
          <w:noProof/>
        </w:rPr>
        <w:fldChar w:fldCharType="separate"/>
      </w:r>
      <w:r>
        <w:rPr>
          <w:noProof/>
        </w:rPr>
        <w:t>- 4 -</w:t>
      </w:r>
      <w:r>
        <w:rPr>
          <w:noProof/>
        </w:rPr>
        <w:fldChar w:fldCharType="end"/>
      </w:r>
    </w:p>
    <w:p w14:paraId="0947AB16" w14:textId="77777777" w:rsidR="007D71C6" w:rsidRDefault="007D71C6">
      <w:pPr>
        <w:pStyle w:val="20"/>
        <w:tabs>
          <w:tab w:val="right" w:leader="dot" w:pos="8296"/>
        </w:tabs>
        <w:ind w:left="480"/>
        <w:rPr>
          <w:rFonts w:asciiTheme="minorHAnsi" w:hAnsiTheme="minorHAnsi"/>
          <w:noProof/>
          <w:sz w:val="21"/>
        </w:rPr>
      </w:pPr>
      <w:r w:rsidRPr="00317D6C">
        <w:rPr>
          <w:rFonts w:cs="Times New Roman"/>
          <w:noProof/>
        </w:rPr>
        <w:t>3.4</w:t>
      </w:r>
      <w:r w:rsidRPr="00317D6C">
        <w:rPr>
          <w:rFonts w:cs="Times New Roman" w:hint="eastAsia"/>
          <w:noProof/>
        </w:rPr>
        <w:t>高后果区事故案例</w:t>
      </w:r>
      <w:r>
        <w:rPr>
          <w:noProof/>
        </w:rPr>
        <w:tab/>
      </w:r>
      <w:r>
        <w:rPr>
          <w:noProof/>
        </w:rPr>
        <w:fldChar w:fldCharType="begin"/>
      </w:r>
      <w:r>
        <w:rPr>
          <w:noProof/>
        </w:rPr>
        <w:instrText xml:space="preserve"> PAGEREF _Toc16608630 \h </w:instrText>
      </w:r>
      <w:r>
        <w:rPr>
          <w:noProof/>
        </w:rPr>
      </w:r>
      <w:r>
        <w:rPr>
          <w:noProof/>
        </w:rPr>
        <w:fldChar w:fldCharType="separate"/>
      </w:r>
      <w:r>
        <w:rPr>
          <w:noProof/>
        </w:rPr>
        <w:t>- 5 -</w:t>
      </w:r>
      <w:r>
        <w:rPr>
          <w:noProof/>
        </w:rPr>
        <w:fldChar w:fldCharType="end"/>
      </w:r>
    </w:p>
    <w:p w14:paraId="1D7B2630" w14:textId="77777777" w:rsidR="007D71C6" w:rsidRDefault="007D71C6">
      <w:pPr>
        <w:pStyle w:val="10"/>
        <w:tabs>
          <w:tab w:val="right" w:leader="dot" w:pos="8296"/>
        </w:tabs>
        <w:rPr>
          <w:rFonts w:asciiTheme="minorHAnsi" w:hAnsiTheme="minorHAnsi"/>
          <w:noProof/>
          <w:sz w:val="21"/>
        </w:rPr>
      </w:pPr>
      <w:r w:rsidRPr="00317D6C">
        <w:rPr>
          <w:rFonts w:cs="Times New Roman" w:hint="eastAsia"/>
          <w:noProof/>
        </w:rPr>
        <w:t>四、高后果区识别结果</w:t>
      </w:r>
      <w:r>
        <w:rPr>
          <w:noProof/>
        </w:rPr>
        <w:tab/>
      </w:r>
      <w:r>
        <w:rPr>
          <w:noProof/>
        </w:rPr>
        <w:fldChar w:fldCharType="begin"/>
      </w:r>
      <w:r>
        <w:rPr>
          <w:noProof/>
        </w:rPr>
        <w:instrText xml:space="preserve"> PAGEREF _Toc16608631 \h </w:instrText>
      </w:r>
      <w:r>
        <w:rPr>
          <w:noProof/>
        </w:rPr>
      </w:r>
      <w:r>
        <w:rPr>
          <w:noProof/>
        </w:rPr>
        <w:fldChar w:fldCharType="separate"/>
      </w:r>
      <w:r>
        <w:rPr>
          <w:noProof/>
        </w:rPr>
        <w:t>- 6 -</w:t>
      </w:r>
      <w:r>
        <w:rPr>
          <w:noProof/>
        </w:rPr>
        <w:fldChar w:fldCharType="end"/>
      </w:r>
    </w:p>
    <w:p w14:paraId="1874C5F3" w14:textId="77777777" w:rsidR="007D71C6" w:rsidRDefault="007D71C6">
      <w:pPr>
        <w:pStyle w:val="20"/>
        <w:tabs>
          <w:tab w:val="right" w:leader="dot" w:pos="8296"/>
        </w:tabs>
        <w:ind w:left="480"/>
        <w:rPr>
          <w:rFonts w:asciiTheme="minorHAnsi" w:hAnsiTheme="minorHAnsi"/>
          <w:noProof/>
          <w:sz w:val="21"/>
        </w:rPr>
      </w:pPr>
      <w:r w:rsidRPr="00317D6C">
        <w:rPr>
          <w:rFonts w:cs="Times New Roman"/>
          <w:noProof/>
        </w:rPr>
        <w:t xml:space="preserve">4.1 </w:t>
      </w:r>
      <w:r w:rsidRPr="00317D6C">
        <w:rPr>
          <w:rFonts w:cs="Times New Roman" w:hint="eastAsia"/>
          <w:noProof/>
        </w:rPr>
        <w:t>识别结果列表</w:t>
      </w:r>
      <w:r>
        <w:rPr>
          <w:noProof/>
        </w:rPr>
        <w:tab/>
      </w:r>
      <w:r>
        <w:rPr>
          <w:noProof/>
        </w:rPr>
        <w:fldChar w:fldCharType="begin"/>
      </w:r>
      <w:r>
        <w:rPr>
          <w:noProof/>
        </w:rPr>
        <w:instrText xml:space="preserve"> PAGEREF _Toc16608632 \h </w:instrText>
      </w:r>
      <w:r>
        <w:rPr>
          <w:noProof/>
        </w:rPr>
      </w:r>
      <w:r>
        <w:rPr>
          <w:noProof/>
        </w:rPr>
        <w:fldChar w:fldCharType="separate"/>
      </w:r>
      <w:r>
        <w:rPr>
          <w:noProof/>
        </w:rPr>
        <w:t>- 7 -</w:t>
      </w:r>
      <w:r>
        <w:rPr>
          <w:noProof/>
        </w:rPr>
        <w:fldChar w:fldCharType="end"/>
      </w:r>
    </w:p>
    <w:p w14:paraId="52DAABD4" w14:textId="77777777" w:rsidR="007D71C6" w:rsidRDefault="007D71C6">
      <w:pPr>
        <w:pStyle w:val="20"/>
        <w:tabs>
          <w:tab w:val="right" w:leader="dot" w:pos="8296"/>
        </w:tabs>
        <w:ind w:left="480"/>
        <w:rPr>
          <w:rFonts w:asciiTheme="minorHAnsi" w:hAnsiTheme="minorHAnsi"/>
          <w:noProof/>
          <w:sz w:val="21"/>
        </w:rPr>
      </w:pPr>
      <w:r w:rsidRPr="00317D6C">
        <w:rPr>
          <w:rFonts w:cs="Times New Roman"/>
          <w:noProof/>
        </w:rPr>
        <w:t>4.2</w:t>
      </w:r>
      <w:r w:rsidRPr="00317D6C">
        <w:rPr>
          <w:rFonts w:cs="Times New Roman" w:hint="eastAsia"/>
          <w:noProof/>
        </w:rPr>
        <w:t>应急预案：</w:t>
      </w:r>
      <w:r>
        <w:rPr>
          <w:noProof/>
        </w:rPr>
        <w:tab/>
      </w:r>
      <w:r>
        <w:rPr>
          <w:noProof/>
        </w:rPr>
        <w:fldChar w:fldCharType="begin"/>
      </w:r>
      <w:r>
        <w:rPr>
          <w:noProof/>
        </w:rPr>
        <w:instrText xml:space="preserve"> PAGEREF _Toc16608633 \h </w:instrText>
      </w:r>
      <w:r>
        <w:rPr>
          <w:noProof/>
        </w:rPr>
      </w:r>
      <w:r>
        <w:rPr>
          <w:noProof/>
        </w:rPr>
        <w:fldChar w:fldCharType="separate"/>
      </w:r>
      <w:r>
        <w:rPr>
          <w:noProof/>
        </w:rPr>
        <w:t>- 7 -</w:t>
      </w:r>
      <w:r>
        <w:rPr>
          <w:noProof/>
        </w:rPr>
        <w:fldChar w:fldCharType="end"/>
      </w:r>
    </w:p>
    <w:p w14:paraId="29FED8D5" w14:textId="77777777" w:rsidR="007D71C6" w:rsidRDefault="007D71C6">
      <w:pPr>
        <w:pStyle w:val="10"/>
        <w:tabs>
          <w:tab w:val="right" w:leader="dot" w:pos="8296"/>
        </w:tabs>
        <w:rPr>
          <w:rFonts w:asciiTheme="minorHAnsi" w:hAnsiTheme="minorHAnsi"/>
          <w:noProof/>
          <w:sz w:val="21"/>
        </w:rPr>
      </w:pPr>
      <w:r w:rsidRPr="00317D6C">
        <w:rPr>
          <w:rFonts w:cs="Times New Roman" w:hint="eastAsia"/>
          <w:noProof/>
        </w:rPr>
        <w:t>五、结论与建议</w:t>
      </w:r>
      <w:r>
        <w:rPr>
          <w:noProof/>
        </w:rPr>
        <w:tab/>
      </w:r>
      <w:r>
        <w:rPr>
          <w:noProof/>
        </w:rPr>
        <w:fldChar w:fldCharType="begin"/>
      </w:r>
      <w:r>
        <w:rPr>
          <w:noProof/>
        </w:rPr>
        <w:instrText xml:space="preserve"> PAGEREF _Toc16608634 \h </w:instrText>
      </w:r>
      <w:r>
        <w:rPr>
          <w:noProof/>
        </w:rPr>
      </w:r>
      <w:r>
        <w:rPr>
          <w:noProof/>
        </w:rPr>
        <w:fldChar w:fldCharType="separate"/>
      </w:r>
      <w:r>
        <w:rPr>
          <w:noProof/>
        </w:rPr>
        <w:t>- 7 -</w:t>
      </w:r>
      <w:r>
        <w:rPr>
          <w:noProof/>
        </w:rPr>
        <w:fldChar w:fldCharType="end"/>
      </w:r>
    </w:p>
    <w:p w14:paraId="2F7804F7" w14:textId="77777777" w:rsidR="00261EC6" w:rsidRDefault="00FF4B42">
      <w:pPr>
        <w:widowControl/>
        <w:spacing w:line="240" w:lineRule="auto"/>
        <w:jc w:val="left"/>
        <w:rPr>
          <w:rFonts w:asciiTheme="minorEastAsia" w:hAnsiTheme="minorEastAsia" w:cstheme="minorEastAsia"/>
          <w:szCs w:val="24"/>
        </w:rPr>
      </w:pPr>
      <w:r>
        <w:rPr>
          <w:rFonts w:asciiTheme="minorEastAsia" w:hAnsiTheme="minorEastAsia" w:cstheme="minorEastAsia" w:hint="eastAsia"/>
          <w:szCs w:val="24"/>
        </w:rPr>
        <w:fldChar w:fldCharType="end"/>
      </w:r>
    </w:p>
    <w:p w14:paraId="2F7804F8" w14:textId="77777777" w:rsidR="00261EC6" w:rsidRDefault="00FF4B42">
      <w:pPr>
        <w:widowControl/>
        <w:spacing w:line="240" w:lineRule="auto"/>
        <w:jc w:val="left"/>
        <w:rPr>
          <w:rFonts w:asciiTheme="minorEastAsia" w:hAnsiTheme="minorEastAsia" w:cstheme="minorEastAsia"/>
          <w:szCs w:val="24"/>
        </w:rPr>
        <w:sectPr w:rsidR="00261EC6">
          <w:headerReference w:type="default" r:id="rId9"/>
          <w:pgSz w:w="11906" w:h="16838"/>
          <w:pgMar w:top="1440" w:right="1800" w:bottom="1440" w:left="1800" w:header="851" w:footer="992" w:gutter="0"/>
          <w:pgNumType w:fmt="numberInDash" w:start="1"/>
          <w:cols w:space="425"/>
          <w:docGrid w:type="lines" w:linePitch="312"/>
        </w:sectPr>
      </w:pPr>
      <w:r>
        <w:rPr>
          <w:rFonts w:asciiTheme="minorEastAsia" w:hAnsiTheme="minorEastAsia" w:cstheme="minorEastAsia"/>
          <w:szCs w:val="24"/>
        </w:rPr>
        <w:br w:type="page"/>
      </w:r>
    </w:p>
    <w:p w14:paraId="2F7804F9" w14:textId="77777777" w:rsidR="00261EC6" w:rsidRDefault="00FF4B42">
      <w:pPr>
        <w:pStyle w:val="1"/>
        <w:numPr>
          <w:ilvl w:val="0"/>
          <w:numId w:val="1"/>
        </w:numPr>
        <w:rPr>
          <w:rFonts w:cs="Times New Roman"/>
        </w:rPr>
      </w:pPr>
      <w:bookmarkStart w:id="0" w:name="_Toc502133675"/>
      <w:bookmarkStart w:id="1" w:name="_Toc23929"/>
      <w:bookmarkStart w:id="2" w:name="_Toc28467"/>
      <w:bookmarkStart w:id="3" w:name="_Toc8318"/>
      <w:bookmarkStart w:id="4" w:name="_Toc9618"/>
      <w:bookmarkStart w:id="5" w:name="_Toc16608622"/>
      <w:r>
        <w:rPr>
          <w:rFonts w:cs="Times New Roman"/>
        </w:rPr>
        <w:lastRenderedPageBreak/>
        <w:t>项目</w:t>
      </w:r>
      <w:bookmarkEnd w:id="0"/>
      <w:bookmarkEnd w:id="1"/>
      <w:bookmarkEnd w:id="2"/>
      <w:bookmarkEnd w:id="3"/>
      <w:bookmarkEnd w:id="4"/>
      <w:r>
        <w:rPr>
          <w:rFonts w:cs="Times New Roman"/>
        </w:rPr>
        <w:t>简介</w:t>
      </w:r>
      <w:bookmarkEnd w:id="5"/>
    </w:p>
    <w:p w14:paraId="2F7804FA" w14:textId="77777777" w:rsidR="00261EC6" w:rsidRDefault="00FF4B42">
      <w:pPr>
        <w:pStyle w:val="2"/>
        <w:numPr>
          <w:ilvl w:val="1"/>
          <w:numId w:val="2"/>
        </w:numPr>
        <w:spacing w:before="156" w:after="156"/>
        <w:rPr>
          <w:rFonts w:cs="Times New Roman"/>
        </w:rPr>
      </w:pPr>
      <w:bookmarkStart w:id="6" w:name="_Toc16608623"/>
      <w:r>
        <w:rPr>
          <w:rFonts w:cs="Times New Roman"/>
        </w:rPr>
        <w:t>项目简述</w:t>
      </w:r>
      <w:bookmarkEnd w:id="6"/>
    </w:p>
    <w:p w14:paraId="08366C6E" w14:textId="77777777" w:rsidR="00E41945" w:rsidRPr="00894A6B" w:rsidRDefault="00E41945" w:rsidP="00E41945">
      <w:pPr>
        <w:pStyle w:val="ac"/>
        <w:ind w:firstLineChars="0"/>
      </w:pPr>
      <w:r w:rsidRPr="00E41945">
        <w:rPr>
          <w:rFonts w:cs="Times New Roman" w:hint="eastAsia"/>
          <w:kern w:val="0"/>
        </w:rPr>
        <w:t>管道安全平稳运行是企业的生命线，关系到国民经济发展和社会稳定。管道高后果区是完整性管理的重点，也是投入人力、物力、财力较多的关键环节。《油气输送管道完整性管理规范》（</w:t>
      </w:r>
      <w:r w:rsidRPr="00E41945">
        <w:rPr>
          <w:rFonts w:cs="Times New Roman"/>
          <w:kern w:val="0"/>
        </w:rPr>
        <w:t>GB 32167-2015</w:t>
      </w:r>
      <w:r w:rsidRPr="00E41945">
        <w:rPr>
          <w:rFonts w:cs="Times New Roman" w:hint="eastAsia"/>
          <w:kern w:val="0"/>
        </w:rPr>
        <w:t>）、《输气管道工程设计规范》（</w:t>
      </w:r>
      <w:r w:rsidRPr="00E41945">
        <w:rPr>
          <w:rFonts w:cs="Times New Roman"/>
          <w:kern w:val="0"/>
        </w:rPr>
        <w:t>GB 50251-2015</w:t>
      </w:r>
      <w:r w:rsidRPr="00E41945">
        <w:rPr>
          <w:rFonts w:cs="Times New Roman" w:hint="eastAsia"/>
          <w:kern w:val="0"/>
        </w:rPr>
        <w:t>）、《输气管道高后果区完整性管理规范》（</w:t>
      </w:r>
      <w:r w:rsidRPr="00E41945">
        <w:rPr>
          <w:rFonts w:cs="Times New Roman"/>
          <w:kern w:val="0"/>
        </w:rPr>
        <w:t>SYT 7380-2017</w:t>
      </w:r>
      <w:r w:rsidRPr="00E41945">
        <w:rPr>
          <w:rFonts w:cs="Times New Roman" w:hint="eastAsia"/>
          <w:kern w:val="0"/>
        </w:rPr>
        <w:t>）等标准规范，明确了对高后果区的管理要求。</w:t>
      </w:r>
    </w:p>
    <w:p w14:paraId="2F780524" w14:textId="77777777" w:rsidR="00261EC6" w:rsidRDefault="00FF4B42">
      <w:pPr>
        <w:pStyle w:val="1"/>
        <w:numPr>
          <w:ilvl w:val="0"/>
          <w:numId w:val="1"/>
        </w:numPr>
        <w:rPr>
          <w:rFonts w:cs="Times New Roman"/>
        </w:rPr>
      </w:pPr>
      <w:bookmarkStart w:id="7" w:name="_Toc14598"/>
      <w:bookmarkStart w:id="8" w:name="_Toc26108"/>
      <w:bookmarkStart w:id="9" w:name="_Toc23783"/>
      <w:bookmarkStart w:id="10" w:name="_Toc502133681"/>
      <w:bookmarkStart w:id="11" w:name="_Toc15048"/>
      <w:bookmarkStart w:id="12" w:name="_Toc2602"/>
      <w:bookmarkStart w:id="13" w:name="_Toc16608624"/>
      <w:r>
        <w:rPr>
          <w:rFonts w:cs="Times New Roman"/>
        </w:rPr>
        <w:t>管线情况概述</w:t>
      </w:r>
      <w:bookmarkEnd w:id="7"/>
      <w:bookmarkEnd w:id="8"/>
      <w:bookmarkEnd w:id="9"/>
      <w:bookmarkEnd w:id="10"/>
      <w:bookmarkEnd w:id="11"/>
      <w:bookmarkEnd w:id="12"/>
      <w:bookmarkEnd w:id="13"/>
    </w:p>
    <w:p w14:paraId="2F780525" w14:textId="77777777" w:rsidR="00261EC6" w:rsidRDefault="00FF4B42">
      <w:pPr>
        <w:pStyle w:val="2"/>
        <w:spacing w:before="156" w:after="156"/>
        <w:rPr>
          <w:rFonts w:cs="Times New Roman"/>
        </w:rPr>
      </w:pPr>
      <w:bookmarkStart w:id="14" w:name="_Toc4779"/>
      <w:bookmarkStart w:id="15" w:name="_Toc19200"/>
      <w:bookmarkStart w:id="16" w:name="_Toc10458"/>
      <w:bookmarkStart w:id="17" w:name="_Toc25756"/>
      <w:bookmarkStart w:id="18" w:name="_Toc502133682"/>
      <w:bookmarkStart w:id="19" w:name="_Toc21989"/>
      <w:bookmarkStart w:id="20" w:name="_Toc16608625"/>
      <w:r>
        <w:rPr>
          <w:rFonts w:cs="Times New Roman"/>
        </w:rPr>
        <w:t xml:space="preserve">2.1 </w:t>
      </w:r>
      <w:r>
        <w:rPr>
          <w:rFonts w:cs="Times New Roman"/>
        </w:rPr>
        <w:t>管道基本信息</w:t>
      </w:r>
      <w:bookmarkEnd w:id="14"/>
      <w:bookmarkEnd w:id="15"/>
      <w:bookmarkEnd w:id="16"/>
      <w:bookmarkEnd w:id="17"/>
      <w:bookmarkEnd w:id="18"/>
      <w:bookmarkEnd w:id="19"/>
      <w:bookmarkEnd w:id="20"/>
    </w:p>
    <w:p w14:paraId="3355DC10" w14:textId="0F9D22B9" w:rsidR="00F17BEE" w:rsidRPr="00F17BEE" w:rsidRDefault="00F17BEE" w:rsidP="00F17BEE">
      <w:pPr>
        <w:widowControl/>
        <w:spacing w:line="240" w:lineRule="auto"/>
        <w:ind w:firstLine="420"/>
        <w:jc w:val="left"/>
        <w:rPr>
          <w:rFonts w:eastAsiaTheme="majorEastAsia" w:cs="Times New Roman"/>
          <w:b/>
          <w:bCs/>
          <w:szCs w:val="32"/>
        </w:rPr>
      </w:pPr>
      <w:bookmarkStart w:id="21" w:name="_Toc499727052"/>
      <w:r>
        <w:rPr>
          <w:rFonts w:eastAsiaTheme="majorEastAsia" w:cs="Times New Roman"/>
          <w:b/>
          <w:bCs/>
          <w:szCs w:val="32"/>
        </w:rPr>
        <w:t>{{#</w:t>
      </w:r>
      <w:r w:rsidR="00663558" w:rsidRPr="00663558">
        <w:rPr>
          <w:rFonts w:eastAsiaTheme="majorEastAsia" w:cs="Times New Roman"/>
          <w:b/>
          <w:bCs/>
          <w:szCs w:val="32"/>
        </w:rPr>
        <w:t>pipelineTableData</w:t>
      </w:r>
      <w:r>
        <w:rPr>
          <w:rFonts w:eastAsiaTheme="majorEastAsia" w:cs="Times New Roman"/>
          <w:b/>
          <w:bCs/>
          <w:szCs w:val="32"/>
        </w:rPr>
        <w:t>}}</w:t>
      </w:r>
    </w:p>
    <w:p w14:paraId="2F7805E5" w14:textId="77777777" w:rsidR="00261EC6" w:rsidRDefault="00FF4B42">
      <w:pPr>
        <w:pStyle w:val="1"/>
        <w:numPr>
          <w:ilvl w:val="0"/>
          <w:numId w:val="1"/>
        </w:numPr>
        <w:rPr>
          <w:rFonts w:cs="Times New Roman"/>
        </w:rPr>
      </w:pPr>
      <w:bookmarkStart w:id="22" w:name="_Toc16608626"/>
      <w:bookmarkEnd w:id="21"/>
      <w:r>
        <w:rPr>
          <w:rFonts w:cs="Times New Roman"/>
        </w:rPr>
        <w:t>管道高后果区识别方法介绍</w:t>
      </w:r>
      <w:bookmarkEnd w:id="22"/>
    </w:p>
    <w:p w14:paraId="2F7805E6" w14:textId="77777777" w:rsidR="00261EC6" w:rsidRDefault="00FF4B42">
      <w:pPr>
        <w:pStyle w:val="2"/>
        <w:spacing w:before="156" w:after="156"/>
        <w:rPr>
          <w:rFonts w:cs="Times New Roman"/>
        </w:rPr>
      </w:pPr>
      <w:bookmarkStart w:id="23" w:name="_Toc16608627"/>
      <w:r>
        <w:rPr>
          <w:rFonts w:cs="Times New Roman"/>
        </w:rPr>
        <w:t>3.1</w:t>
      </w:r>
      <w:r>
        <w:rPr>
          <w:rFonts w:cs="Times New Roman"/>
        </w:rPr>
        <w:t>定义及意义</w:t>
      </w:r>
      <w:bookmarkEnd w:id="23"/>
    </w:p>
    <w:p w14:paraId="2F7805E7" w14:textId="77777777" w:rsidR="00261EC6" w:rsidRDefault="00FF4B42">
      <w:pPr>
        <w:ind w:firstLineChars="200" w:firstLine="480"/>
        <w:rPr>
          <w:rFonts w:cs="Times New Roman"/>
          <w:szCs w:val="24"/>
        </w:rPr>
      </w:pPr>
      <w:r>
        <w:rPr>
          <w:rFonts w:cs="Times New Roman"/>
          <w:szCs w:val="24"/>
        </w:rPr>
        <w:t>高后果区（</w:t>
      </w:r>
      <w:r>
        <w:rPr>
          <w:rFonts w:cs="Times New Roman"/>
          <w:szCs w:val="24"/>
        </w:rPr>
        <w:t>High Consequence Areas, HCAs</w:t>
      </w:r>
      <w:r>
        <w:rPr>
          <w:rFonts w:cs="Times New Roman"/>
          <w:szCs w:val="24"/>
        </w:rPr>
        <w:t>）是指管道如果发生泄漏会严重危及公众安全和（或）造成环境较大破坏的区域。典型的高后果区为人口密集区和环境敏感区，输气管道对于河流、湖泊、自然保护区等环节敏感区危害相对较小，因此环境敏感类高后果区主要是针对输油管道。</w:t>
      </w:r>
      <w:r>
        <w:rPr>
          <w:rFonts w:cs="Times New Roman"/>
          <w:szCs w:val="24"/>
        </w:rPr>
        <w:t>2016</w:t>
      </w:r>
      <w:r>
        <w:rPr>
          <w:rFonts w:cs="Times New Roman"/>
          <w:szCs w:val="24"/>
        </w:rPr>
        <w:t>年</w:t>
      </w:r>
      <w:r>
        <w:rPr>
          <w:rFonts w:cs="Times New Roman"/>
          <w:szCs w:val="24"/>
        </w:rPr>
        <w:t>3</w:t>
      </w:r>
      <w:r>
        <w:rPr>
          <w:rFonts w:cs="Times New Roman"/>
          <w:szCs w:val="24"/>
        </w:rPr>
        <w:t>月，正式颁布实施的</w:t>
      </w:r>
      <w:r>
        <w:rPr>
          <w:rFonts w:cs="Times New Roman"/>
          <w:szCs w:val="24"/>
        </w:rPr>
        <w:t>GB32167-2015</w:t>
      </w:r>
      <w:r>
        <w:rPr>
          <w:rFonts w:cs="Times New Roman"/>
          <w:szCs w:val="24"/>
        </w:rPr>
        <w:t>《油气输送管道完整性管理规范》中强制条款</w:t>
      </w:r>
      <w:r>
        <w:rPr>
          <w:rFonts w:cs="Times New Roman"/>
          <w:szCs w:val="24"/>
        </w:rPr>
        <w:t>4.4</w:t>
      </w:r>
      <w:r>
        <w:rPr>
          <w:rFonts w:cs="Times New Roman"/>
          <w:szCs w:val="24"/>
        </w:rPr>
        <w:t>明确要求</w:t>
      </w:r>
      <w:r>
        <w:rPr>
          <w:rFonts w:cs="Times New Roman"/>
          <w:szCs w:val="24"/>
        </w:rPr>
        <w:t>“</w:t>
      </w:r>
      <w:r>
        <w:rPr>
          <w:rFonts w:cs="Times New Roman"/>
          <w:szCs w:val="24"/>
        </w:rPr>
        <w:t>管道运营期周期性地开展高后果区识别</w:t>
      </w:r>
      <w:r>
        <w:rPr>
          <w:rFonts w:cs="Times New Roman"/>
          <w:szCs w:val="24"/>
        </w:rPr>
        <w:t>”</w:t>
      </w:r>
      <w:r>
        <w:rPr>
          <w:rFonts w:cs="Times New Roman"/>
          <w:szCs w:val="24"/>
        </w:rPr>
        <w:t>。</w:t>
      </w:r>
    </w:p>
    <w:p w14:paraId="2F7805E8" w14:textId="77777777" w:rsidR="00261EC6" w:rsidRDefault="00FF4B42">
      <w:pPr>
        <w:ind w:firstLineChars="200" w:firstLine="480"/>
        <w:rPr>
          <w:rFonts w:cs="Times New Roman"/>
          <w:szCs w:val="24"/>
        </w:rPr>
      </w:pPr>
      <w:r>
        <w:rPr>
          <w:rFonts w:cs="Times New Roman"/>
          <w:szCs w:val="24"/>
        </w:rPr>
        <w:t>高后果区是管道管理的重点区域，开展高后果区识别是国内外各管道运营企业的共识，一方面管道泄漏事故发生在高后果区和非高后果区影响程度差异很大。发生在高后果区的管道泄漏事故可能会对管道沿线周边的人员安全、环境安全造成较大危害，进而产生较大社会影响。在非高后果区内的管道泄漏事故影响主要是针对管道企业内部，高后果区与非高后果区内发生事故对比如图</w:t>
      </w:r>
      <w:r>
        <w:rPr>
          <w:rFonts w:cs="Times New Roman"/>
          <w:szCs w:val="24"/>
        </w:rPr>
        <w:t>3-1</w:t>
      </w:r>
      <w:r>
        <w:rPr>
          <w:rFonts w:cs="Times New Roman"/>
          <w:szCs w:val="24"/>
        </w:rPr>
        <w:t>所示。通过高后果区识别可进一步明确管道管理的重点，合理的配置管道保护资源。在管</w:t>
      </w:r>
      <w:r>
        <w:rPr>
          <w:rFonts w:cs="Times New Roman"/>
          <w:szCs w:val="24"/>
        </w:rPr>
        <w:lastRenderedPageBreak/>
        <w:t>道保卫、管道保护、腐蚀防护、检测监测，应急资源等方面，优先配置在高后果区，避免在高后果区内发生管道泄漏，或者因管道泄漏导致的次生灾害，避免对管道沿线人员和环境产生危害。同时也是满足国家法规标准的要求，在运行期开展高后果区识别可以明确管理重点，同时控制在高后果区管道运行风险。高后果区内的管段是实施风险评价和完整性评价的重点管段，管段公司必须在高后果区管段上实施完整性管理计划，以保护公众生命财产和环境的安全。</w:t>
      </w:r>
    </w:p>
    <w:p w14:paraId="2F7805E9" w14:textId="77777777" w:rsidR="00261EC6" w:rsidRDefault="00FF4B42">
      <w:pPr>
        <w:ind w:firstLineChars="200" w:firstLine="480"/>
        <w:rPr>
          <w:rFonts w:cs="Times New Roman"/>
          <w:szCs w:val="24"/>
        </w:rPr>
      </w:pPr>
      <w:r>
        <w:rPr>
          <w:rFonts w:cs="Times New Roman"/>
          <w:szCs w:val="24"/>
        </w:rPr>
        <w:t>值得注意的是，高后果区并不是一成不变的。它随着时间和环境的变化而变化着，因此，管道运营商对高后果区也需定期重新分析，及时掌握需要采取完整性管理计划的重点区段，保障管道的安全运营。</w:t>
      </w:r>
    </w:p>
    <w:p w14:paraId="2F7805EA" w14:textId="77777777" w:rsidR="00261EC6" w:rsidRDefault="00FF4B42">
      <w:pPr>
        <w:rPr>
          <w:rFonts w:cs="Times New Roman"/>
          <w:szCs w:val="24"/>
        </w:rPr>
      </w:pPr>
      <w:r>
        <w:rPr>
          <w:rFonts w:eastAsia="宋体" w:cs="Times New Roman"/>
          <w:noProof/>
          <w:szCs w:val="24"/>
        </w:rPr>
        <w:drawing>
          <wp:inline distT="0" distB="0" distL="114300" distR="114300" wp14:anchorId="2F7811B6" wp14:editId="2F7811B7">
            <wp:extent cx="2592705" cy="1724025"/>
            <wp:effectExtent l="0" t="0" r="17145"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0"/>
                    <a:stretch>
                      <a:fillRect/>
                    </a:stretch>
                  </pic:blipFill>
                  <pic:spPr>
                    <a:xfrm>
                      <a:off x="0" y="0"/>
                      <a:ext cx="2592705" cy="1724025"/>
                    </a:xfrm>
                    <a:prstGeom prst="rect">
                      <a:avLst/>
                    </a:prstGeom>
                    <a:noFill/>
                    <a:ln w="9525">
                      <a:noFill/>
                    </a:ln>
                  </pic:spPr>
                </pic:pic>
              </a:graphicData>
            </a:graphic>
          </wp:inline>
        </w:drawing>
      </w:r>
      <w:r>
        <w:rPr>
          <w:rFonts w:cs="Times New Roman"/>
          <w:noProof/>
        </w:rPr>
        <w:drawing>
          <wp:inline distT="0" distB="0" distL="114300" distR="114300" wp14:anchorId="2F7811B8" wp14:editId="2F7811B9">
            <wp:extent cx="2588895" cy="1713230"/>
            <wp:effectExtent l="0" t="0" r="190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cstate="screen"/>
                    <a:stretch>
                      <a:fillRect/>
                    </a:stretch>
                  </pic:blipFill>
                  <pic:spPr>
                    <a:xfrm>
                      <a:off x="0" y="0"/>
                      <a:ext cx="2588895" cy="1713230"/>
                    </a:xfrm>
                    <a:prstGeom prst="rect">
                      <a:avLst/>
                    </a:prstGeom>
                    <a:noFill/>
                    <a:ln w="9525">
                      <a:noFill/>
                    </a:ln>
                  </pic:spPr>
                </pic:pic>
              </a:graphicData>
            </a:graphic>
          </wp:inline>
        </w:drawing>
      </w:r>
    </w:p>
    <w:p w14:paraId="2F7805EB" w14:textId="77777777" w:rsidR="00261EC6" w:rsidRDefault="00FF4B42">
      <w:pPr>
        <w:jc w:val="center"/>
        <w:rPr>
          <w:rFonts w:eastAsia="黑体" w:cs="Times New Roman"/>
          <w:sz w:val="21"/>
          <w:szCs w:val="21"/>
        </w:rPr>
      </w:pPr>
      <w:r>
        <w:rPr>
          <w:rFonts w:eastAsia="黑体" w:cs="Times New Roman"/>
          <w:sz w:val="21"/>
          <w:szCs w:val="21"/>
        </w:rPr>
        <w:t>（</w:t>
      </w:r>
      <w:r>
        <w:rPr>
          <w:rFonts w:eastAsia="黑体" w:cs="Times New Roman"/>
          <w:sz w:val="21"/>
          <w:szCs w:val="21"/>
        </w:rPr>
        <w:t>a</w:t>
      </w:r>
      <w:r>
        <w:rPr>
          <w:rFonts w:eastAsia="黑体" w:cs="Times New Roman"/>
          <w:sz w:val="21"/>
          <w:szCs w:val="21"/>
        </w:rPr>
        <w:t>）高后果区内事故</w:t>
      </w:r>
      <w:r>
        <w:rPr>
          <w:rFonts w:eastAsia="黑体" w:cs="Times New Roman"/>
          <w:sz w:val="21"/>
          <w:szCs w:val="21"/>
        </w:rPr>
        <w:t xml:space="preserve"> </w:t>
      </w:r>
      <w:r>
        <w:rPr>
          <w:rFonts w:cs="Times New Roman"/>
          <w:sz w:val="21"/>
          <w:szCs w:val="21"/>
        </w:rPr>
        <w:t xml:space="preserve">          </w:t>
      </w:r>
      <w:r>
        <w:rPr>
          <w:rFonts w:eastAsia="黑体" w:cs="Times New Roman"/>
          <w:sz w:val="21"/>
          <w:szCs w:val="21"/>
        </w:rPr>
        <w:t xml:space="preserve">  </w:t>
      </w:r>
      <w:r>
        <w:rPr>
          <w:rFonts w:eastAsia="黑体" w:cs="Times New Roman"/>
          <w:b/>
          <w:bCs/>
          <w:sz w:val="21"/>
          <w:szCs w:val="21"/>
        </w:rPr>
        <w:t xml:space="preserve">      </w:t>
      </w:r>
      <w:r>
        <w:rPr>
          <w:rFonts w:eastAsia="黑体" w:cs="Times New Roman"/>
          <w:sz w:val="21"/>
          <w:szCs w:val="21"/>
        </w:rPr>
        <w:t>（</w:t>
      </w:r>
      <w:r>
        <w:rPr>
          <w:rFonts w:eastAsia="黑体" w:cs="Times New Roman"/>
          <w:sz w:val="21"/>
          <w:szCs w:val="21"/>
        </w:rPr>
        <w:t>b</w:t>
      </w:r>
      <w:r>
        <w:rPr>
          <w:rFonts w:eastAsia="黑体" w:cs="Times New Roman"/>
          <w:sz w:val="21"/>
          <w:szCs w:val="21"/>
        </w:rPr>
        <w:t>）非高后果区内事故</w:t>
      </w:r>
    </w:p>
    <w:p w14:paraId="2F7805EC" w14:textId="77777777" w:rsidR="00261EC6" w:rsidRDefault="00FF4B42">
      <w:pPr>
        <w:ind w:firstLineChars="200" w:firstLine="422"/>
        <w:jc w:val="center"/>
        <w:rPr>
          <w:rFonts w:cs="Times New Roman"/>
          <w:b/>
          <w:bCs/>
          <w:sz w:val="21"/>
          <w:szCs w:val="21"/>
        </w:rPr>
      </w:pPr>
      <w:r>
        <w:rPr>
          <w:rFonts w:cs="Times New Roman"/>
          <w:b/>
          <w:bCs/>
          <w:sz w:val="21"/>
          <w:szCs w:val="21"/>
        </w:rPr>
        <w:t>图</w:t>
      </w:r>
      <w:r>
        <w:rPr>
          <w:rFonts w:cs="Times New Roman"/>
          <w:b/>
          <w:bCs/>
          <w:sz w:val="21"/>
          <w:szCs w:val="21"/>
        </w:rPr>
        <w:t xml:space="preserve">3.1-1 </w:t>
      </w:r>
      <w:r>
        <w:rPr>
          <w:rFonts w:cs="Times New Roman"/>
          <w:b/>
          <w:bCs/>
          <w:sz w:val="21"/>
          <w:szCs w:val="21"/>
        </w:rPr>
        <w:t>高后果区与非高后果区内事故对比</w:t>
      </w:r>
    </w:p>
    <w:p w14:paraId="2F7805ED" w14:textId="77777777" w:rsidR="00261EC6" w:rsidRDefault="00FF4B42">
      <w:pPr>
        <w:pStyle w:val="2"/>
        <w:spacing w:before="156" w:after="156"/>
        <w:rPr>
          <w:rFonts w:cs="Times New Roman"/>
        </w:rPr>
      </w:pPr>
      <w:bookmarkStart w:id="24" w:name="_Toc16608628"/>
      <w:r>
        <w:rPr>
          <w:rFonts w:cs="Times New Roman"/>
        </w:rPr>
        <w:t>3.2</w:t>
      </w:r>
      <w:r>
        <w:rPr>
          <w:rFonts w:cs="Times New Roman"/>
        </w:rPr>
        <w:t>国内外做法及要求</w:t>
      </w:r>
      <w:bookmarkEnd w:id="24"/>
    </w:p>
    <w:p w14:paraId="2F7805EE" w14:textId="77777777" w:rsidR="00261EC6" w:rsidRDefault="00FF4B42">
      <w:pPr>
        <w:ind w:firstLineChars="200" w:firstLine="480"/>
        <w:rPr>
          <w:rFonts w:cs="Times New Roman"/>
          <w:szCs w:val="24"/>
        </w:rPr>
      </w:pPr>
      <w:r>
        <w:rPr>
          <w:rFonts w:cs="Times New Roman"/>
          <w:szCs w:val="24"/>
        </w:rPr>
        <w:t>欧美国家对于管道</w:t>
      </w:r>
      <w:r>
        <w:rPr>
          <w:rFonts w:cs="Times New Roman"/>
          <w:szCs w:val="24"/>
        </w:rPr>
        <w:t>HCAs</w:t>
      </w:r>
      <w:r>
        <w:rPr>
          <w:rFonts w:cs="Times New Roman"/>
          <w:szCs w:val="24"/>
        </w:rPr>
        <w:t>识别技术研究较早，现已明确出台了相关法律法规对</w:t>
      </w:r>
      <w:r>
        <w:rPr>
          <w:rFonts w:cs="Times New Roman"/>
          <w:szCs w:val="24"/>
        </w:rPr>
        <w:t>HCAs</w:t>
      </w:r>
      <w:r>
        <w:rPr>
          <w:rFonts w:cs="Times New Roman"/>
          <w:szCs w:val="24"/>
        </w:rPr>
        <w:t>管段进行管理，其中美国对管道</w:t>
      </w:r>
      <w:r>
        <w:rPr>
          <w:rFonts w:cs="Times New Roman"/>
          <w:szCs w:val="24"/>
        </w:rPr>
        <w:t>HCAs</w:t>
      </w:r>
      <w:r>
        <w:rPr>
          <w:rFonts w:cs="Times New Roman"/>
          <w:szCs w:val="24"/>
        </w:rPr>
        <w:t>研究较为成熟。</w:t>
      </w:r>
    </w:p>
    <w:p w14:paraId="2F7805EF" w14:textId="77777777" w:rsidR="00261EC6" w:rsidRDefault="00FF4B42">
      <w:pPr>
        <w:ind w:firstLineChars="200" w:firstLine="480"/>
        <w:rPr>
          <w:rFonts w:cs="Times New Roman"/>
          <w:szCs w:val="24"/>
        </w:rPr>
      </w:pPr>
      <w:r>
        <w:rPr>
          <w:rFonts w:cs="Times New Roman"/>
          <w:szCs w:val="24"/>
        </w:rPr>
        <w:t>2001</w:t>
      </w:r>
      <w:r>
        <w:rPr>
          <w:rFonts w:cs="Times New Roman"/>
          <w:szCs w:val="24"/>
        </w:rPr>
        <w:t>年，美国出台了《危险液体的管道完整性管理》，即</w:t>
      </w:r>
      <w:r>
        <w:rPr>
          <w:rFonts w:cs="Times New Roman"/>
          <w:szCs w:val="24"/>
        </w:rPr>
        <w:t>API1160-2001</w:t>
      </w:r>
      <w:r>
        <w:rPr>
          <w:rFonts w:cs="Times New Roman"/>
          <w:szCs w:val="24"/>
        </w:rPr>
        <w:t>：</w:t>
      </w:r>
      <w:r>
        <w:rPr>
          <w:rFonts w:cs="Times New Roman"/>
          <w:szCs w:val="24"/>
        </w:rPr>
        <w:t>Managing System Integrity for Hazardous Liquid Pipeline</w:t>
      </w:r>
      <w:r>
        <w:rPr>
          <w:rFonts w:cs="Times New Roman"/>
          <w:szCs w:val="24"/>
        </w:rPr>
        <w:t>，系统的阐述了管道</w:t>
      </w:r>
      <w:r>
        <w:rPr>
          <w:rFonts w:cs="Times New Roman"/>
          <w:szCs w:val="24"/>
        </w:rPr>
        <w:t>HCAs</w:t>
      </w:r>
      <w:r>
        <w:rPr>
          <w:rFonts w:cs="Times New Roman"/>
          <w:szCs w:val="24"/>
        </w:rPr>
        <w:t>的识别规程与评分方法，为美国油气管道的</w:t>
      </w:r>
      <w:r>
        <w:rPr>
          <w:rFonts w:cs="Times New Roman"/>
          <w:szCs w:val="24"/>
        </w:rPr>
        <w:t>HCAs</w:t>
      </w:r>
      <w:r>
        <w:rPr>
          <w:rFonts w:cs="Times New Roman"/>
          <w:szCs w:val="24"/>
        </w:rPr>
        <w:t>识别提供了依据。</w:t>
      </w:r>
    </w:p>
    <w:p w14:paraId="2F7805F0" w14:textId="77777777" w:rsidR="00261EC6" w:rsidRDefault="00FF4B42">
      <w:pPr>
        <w:ind w:firstLineChars="200" w:firstLine="480"/>
        <w:rPr>
          <w:rFonts w:cs="Times New Roman"/>
          <w:szCs w:val="24"/>
        </w:rPr>
      </w:pPr>
      <w:r>
        <w:rPr>
          <w:rFonts w:cs="Times New Roman"/>
          <w:szCs w:val="24"/>
        </w:rPr>
        <w:t>2002</w:t>
      </w:r>
      <w:r>
        <w:rPr>
          <w:rFonts w:cs="Times New Roman"/>
          <w:szCs w:val="24"/>
        </w:rPr>
        <w:t>年</w:t>
      </w:r>
      <w:r>
        <w:rPr>
          <w:rFonts w:cs="Times New Roman"/>
          <w:szCs w:val="24"/>
        </w:rPr>
        <w:t>11</w:t>
      </w:r>
      <w:r>
        <w:rPr>
          <w:rFonts w:cs="Times New Roman"/>
          <w:szCs w:val="24"/>
        </w:rPr>
        <w:t>月，美国国会通过了</w:t>
      </w:r>
      <w:r>
        <w:rPr>
          <w:rFonts w:cs="Times New Roman"/>
          <w:szCs w:val="24"/>
        </w:rPr>
        <w:t>H.R.3609</w:t>
      </w:r>
      <w:r>
        <w:rPr>
          <w:rFonts w:cs="Times New Roman"/>
          <w:szCs w:val="24"/>
        </w:rPr>
        <w:t>号法案，增加管道安全性法案（</w:t>
      </w:r>
      <w:r>
        <w:rPr>
          <w:rFonts w:cs="Times New Roman"/>
          <w:szCs w:val="24"/>
        </w:rPr>
        <w:t>The Pipeline Safety Improvement Act of 2002</w:t>
      </w:r>
      <w:r>
        <w:rPr>
          <w:rFonts w:cs="Times New Roman"/>
          <w:szCs w:val="24"/>
        </w:rPr>
        <w:t>，</w:t>
      </w:r>
      <w:r>
        <w:rPr>
          <w:rFonts w:cs="Times New Roman"/>
          <w:szCs w:val="24"/>
        </w:rPr>
        <w:t>PSIA</w:t>
      </w:r>
      <w:r>
        <w:rPr>
          <w:rFonts w:cs="Times New Roman"/>
          <w:szCs w:val="24"/>
        </w:rPr>
        <w:t>），在</w:t>
      </w:r>
      <w:r>
        <w:rPr>
          <w:rFonts w:cs="Times New Roman"/>
          <w:szCs w:val="24"/>
        </w:rPr>
        <w:t>PSIA</w:t>
      </w:r>
      <w:r>
        <w:rPr>
          <w:rFonts w:cs="Times New Roman"/>
          <w:szCs w:val="24"/>
        </w:rPr>
        <w:t>第</w:t>
      </w:r>
      <w:r>
        <w:rPr>
          <w:rFonts w:cs="Times New Roman"/>
          <w:szCs w:val="24"/>
        </w:rPr>
        <w:t>14</w:t>
      </w:r>
      <w:r>
        <w:rPr>
          <w:rFonts w:cs="Times New Roman"/>
          <w:szCs w:val="24"/>
        </w:rPr>
        <w:t>章中，明确规定管道运营商要在</w:t>
      </w:r>
      <w:r>
        <w:rPr>
          <w:rFonts w:cs="Times New Roman"/>
          <w:szCs w:val="24"/>
        </w:rPr>
        <w:t>HCAs</w:t>
      </w:r>
      <w:r>
        <w:rPr>
          <w:rFonts w:cs="Times New Roman"/>
          <w:szCs w:val="24"/>
        </w:rPr>
        <w:t>管段实施完整性管理。这是美国法律对开展完整性管理的强制要求。</w:t>
      </w:r>
    </w:p>
    <w:p w14:paraId="2F7805F1" w14:textId="77777777" w:rsidR="00261EC6" w:rsidRDefault="00FF4B42">
      <w:pPr>
        <w:ind w:firstLineChars="200" w:firstLine="480"/>
        <w:rPr>
          <w:rFonts w:cs="Times New Roman"/>
          <w:szCs w:val="24"/>
        </w:rPr>
      </w:pPr>
      <w:r>
        <w:rPr>
          <w:rFonts w:cs="Times New Roman"/>
          <w:szCs w:val="24"/>
        </w:rPr>
        <w:t>2003</w:t>
      </w:r>
      <w:r>
        <w:rPr>
          <w:rFonts w:cs="Times New Roman"/>
          <w:szCs w:val="24"/>
        </w:rPr>
        <w:t>年，美国交通运输部发布了输气管道和液体危险品管道安全管理规程，</w:t>
      </w:r>
      <w:r>
        <w:rPr>
          <w:rFonts w:cs="Times New Roman"/>
          <w:szCs w:val="24"/>
        </w:rPr>
        <w:lastRenderedPageBreak/>
        <w:t>在第</w:t>
      </w:r>
      <w:r>
        <w:rPr>
          <w:rFonts w:cs="Times New Roman"/>
          <w:szCs w:val="24"/>
        </w:rPr>
        <w:t>49CFR192</w:t>
      </w:r>
      <w:r>
        <w:rPr>
          <w:rFonts w:cs="Times New Roman"/>
          <w:szCs w:val="24"/>
        </w:rPr>
        <w:t>部分《天然气输送管道严重后果区域</w:t>
      </w:r>
      <w:r>
        <w:rPr>
          <w:rFonts w:cs="Times New Roman"/>
          <w:szCs w:val="24"/>
        </w:rPr>
        <w:t>—</w:t>
      </w:r>
      <w:r>
        <w:rPr>
          <w:rFonts w:cs="Times New Roman"/>
          <w:szCs w:val="24"/>
        </w:rPr>
        <w:t>最终规则》明确了输气管道</w:t>
      </w:r>
      <w:r>
        <w:rPr>
          <w:rFonts w:cs="Times New Roman"/>
          <w:szCs w:val="24"/>
        </w:rPr>
        <w:t>HCAs</w:t>
      </w:r>
      <w:r>
        <w:rPr>
          <w:rFonts w:cs="Times New Roman"/>
          <w:szCs w:val="24"/>
        </w:rPr>
        <w:t>的定义、</w:t>
      </w:r>
      <w:r>
        <w:rPr>
          <w:rFonts w:cs="Times New Roman"/>
          <w:szCs w:val="24"/>
        </w:rPr>
        <w:t>HCAs</w:t>
      </w:r>
      <w:r>
        <w:rPr>
          <w:rFonts w:cs="Times New Roman"/>
          <w:szCs w:val="24"/>
        </w:rPr>
        <w:t>的界定、</w:t>
      </w:r>
      <w:r>
        <w:rPr>
          <w:rFonts w:cs="Times New Roman"/>
          <w:szCs w:val="24"/>
        </w:rPr>
        <w:t>HCAs</w:t>
      </w:r>
      <w:r>
        <w:rPr>
          <w:rFonts w:cs="Times New Roman"/>
          <w:szCs w:val="24"/>
        </w:rPr>
        <w:t>的识别方法、计算方法以及</w:t>
      </w:r>
      <w:r>
        <w:rPr>
          <w:rFonts w:cs="Times New Roman"/>
          <w:szCs w:val="24"/>
        </w:rPr>
        <w:t>HCAs</w:t>
      </w:r>
      <w:r>
        <w:rPr>
          <w:rFonts w:cs="Times New Roman"/>
          <w:szCs w:val="24"/>
        </w:rPr>
        <w:t>的完整性管理内容，在第</w:t>
      </w:r>
      <w:r>
        <w:rPr>
          <w:rFonts w:cs="Times New Roman"/>
          <w:szCs w:val="24"/>
        </w:rPr>
        <w:t>49CRF195</w:t>
      </w:r>
      <w:r>
        <w:rPr>
          <w:rFonts w:cs="Times New Roman"/>
          <w:szCs w:val="24"/>
        </w:rPr>
        <w:t>部分《危险液体管道严重后果区域</w:t>
      </w:r>
      <w:r>
        <w:rPr>
          <w:rFonts w:cs="Times New Roman"/>
          <w:szCs w:val="24"/>
        </w:rPr>
        <w:t>—</w:t>
      </w:r>
      <w:r>
        <w:rPr>
          <w:rFonts w:cs="Times New Roman"/>
          <w:szCs w:val="24"/>
        </w:rPr>
        <w:t>最终规则》中明确了液体管道</w:t>
      </w:r>
      <w:r>
        <w:rPr>
          <w:rFonts w:cs="Times New Roman"/>
          <w:szCs w:val="24"/>
        </w:rPr>
        <w:t>HCAs</w:t>
      </w:r>
      <w:r>
        <w:rPr>
          <w:rFonts w:cs="Times New Roman"/>
          <w:szCs w:val="24"/>
        </w:rPr>
        <w:t>相关要求。</w:t>
      </w:r>
    </w:p>
    <w:p w14:paraId="2F7805F2" w14:textId="77777777" w:rsidR="00261EC6" w:rsidRDefault="00FF4B42">
      <w:pPr>
        <w:ind w:firstLineChars="200" w:firstLine="480"/>
        <w:rPr>
          <w:rFonts w:cs="Times New Roman"/>
          <w:szCs w:val="24"/>
        </w:rPr>
      </w:pPr>
      <w:r>
        <w:rPr>
          <w:rFonts w:cs="Times New Roman"/>
          <w:szCs w:val="24"/>
        </w:rPr>
        <w:t>2014</w:t>
      </w:r>
      <w:r>
        <w:rPr>
          <w:rFonts w:cs="Times New Roman"/>
          <w:szCs w:val="24"/>
        </w:rPr>
        <w:t>年，美国运输部的管道安全管理办公室开发了全美管道绘图系统，以运营商提供的管道信息以及管道周边环境，人文信息绘制了地区饮用水分布图、生态分布图、商业航道图、人口密集分布图，最后整合所有信息绘制出全美地区管道</w:t>
      </w:r>
      <w:r>
        <w:rPr>
          <w:rFonts w:cs="Times New Roman"/>
          <w:szCs w:val="24"/>
        </w:rPr>
        <w:t>HCAs</w:t>
      </w:r>
      <w:r>
        <w:rPr>
          <w:rFonts w:cs="Times New Roman"/>
          <w:szCs w:val="24"/>
        </w:rPr>
        <w:t>域图。运营商通过管道测绘系统可清晰的查询管道高后果地区的数据，由于管道周边生态、社会、人文环境资料提供齐全，结合全美管道绘图系统提供的</w:t>
      </w:r>
      <w:r>
        <w:rPr>
          <w:rFonts w:cs="Times New Roman"/>
          <w:szCs w:val="24"/>
        </w:rPr>
        <w:t>HCAs</w:t>
      </w:r>
      <w:r>
        <w:rPr>
          <w:rFonts w:cs="Times New Roman"/>
          <w:szCs w:val="24"/>
        </w:rPr>
        <w:t>域图，并遵循</w:t>
      </w:r>
      <w:r>
        <w:rPr>
          <w:rFonts w:cs="Times New Roman"/>
          <w:szCs w:val="24"/>
        </w:rPr>
        <w:t>DOT49CFR</w:t>
      </w:r>
      <w:r>
        <w:rPr>
          <w:rFonts w:cs="Times New Roman"/>
          <w:szCs w:val="24"/>
        </w:rPr>
        <w:t>法案，运营商对管道</w:t>
      </w:r>
      <w:r>
        <w:rPr>
          <w:rFonts w:cs="Times New Roman"/>
          <w:szCs w:val="24"/>
        </w:rPr>
        <w:t>HCAs</w:t>
      </w:r>
      <w:r>
        <w:rPr>
          <w:rFonts w:cs="Times New Roman"/>
          <w:szCs w:val="24"/>
        </w:rPr>
        <w:t>进行完整性评价，极大的减少了管道</w:t>
      </w:r>
      <w:r>
        <w:rPr>
          <w:rFonts w:cs="Times New Roman"/>
          <w:szCs w:val="24"/>
        </w:rPr>
        <w:t>HCAs</w:t>
      </w:r>
      <w:r>
        <w:rPr>
          <w:rFonts w:cs="Times New Roman"/>
          <w:szCs w:val="24"/>
        </w:rPr>
        <w:t>事故发生。</w:t>
      </w:r>
    </w:p>
    <w:p w14:paraId="2F7805F3" w14:textId="77777777" w:rsidR="00261EC6" w:rsidRDefault="00FF4B42">
      <w:pPr>
        <w:ind w:firstLineChars="200" w:firstLine="480"/>
        <w:rPr>
          <w:rFonts w:cs="Times New Roman"/>
          <w:szCs w:val="24"/>
        </w:rPr>
      </w:pPr>
      <w:r>
        <w:rPr>
          <w:rFonts w:cs="Times New Roman"/>
          <w:szCs w:val="24"/>
        </w:rPr>
        <w:t>国内对高后果区的研究起步较晚，但</w:t>
      </w:r>
      <w:r>
        <w:rPr>
          <w:rFonts w:cs="Times New Roman"/>
          <w:szCs w:val="24"/>
        </w:rPr>
        <w:t>2004</w:t>
      </w:r>
      <w:r>
        <w:rPr>
          <w:rFonts w:cs="Times New Roman"/>
          <w:szCs w:val="24"/>
        </w:rPr>
        <w:t>年后国内完整性管理也快速发展。中国石油</w:t>
      </w:r>
      <w:r>
        <w:rPr>
          <w:rFonts w:cs="Times New Roman"/>
          <w:szCs w:val="24"/>
        </w:rPr>
        <w:t>2004</w:t>
      </w:r>
      <w:r>
        <w:rPr>
          <w:rFonts w:cs="Times New Roman"/>
          <w:szCs w:val="24"/>
        </w:rPr>
        <w:t>年开始研发，</w:t>
      </w:r>
      <w:r>
        <w:rPr>
          <w:rFonts w:cs="Times New Roman"/>
          <w:szCs w:val="24"/>
        </w:rPr>
        <w:t>2009</w:t>
      </w:r>
      <w:r>
        <w:rPr>
          <w:rFonts w:cs="Times New Roman"/>
          <w:szCs w:val="24"/>
        </w:rPr>
        <w:t>年形成了国内首套关于管道完整性管理的企业标准</w:t>
      </w:r>
      <w:r>
        <w:rPr>
          <w:rFonts w:cs="Times New Roman"/>
          <w:szCs w:val="24"/>
        </w:rPr>
        <w:t>Q/SY1180</w:t>
      </w:r>
      <w:r>
        <w:rPr>
          <w:rFonts w:cs="Times New Roman"/>
          <w:szCs w:val="24"/>
        </w:rPr>
        <w:t>《管道完整性管理规范》，其中第</w:t>
      </w:r>
      <w:r>
        <w:rPr>
          <w:rFonts w:cs="Times New Roman"/>
          <w:szCs w:val="24"/>
        </w:rPr>
        <w:t>2</w:t>
      </w:r>
      <w:r>
        <w:rPr>
          <w:rFonts w:cs="Times New Roman"/>
          <w:szCs w:val="24"/>
        </w:rPr>
        <w:t>部分为管道高后果区识别，明确了高后果区的定义、识别准则及管理要求，</w:t>
      </w:r>
      <w:r>
        <w:rPr>
          <w:rFonts w:cs="Times New Roman"/>
          <w:szCs w:val="24"/>
        </w:rPr>
        <w:t>2010</w:t>
      </w:r>
      <w:r>
        <w:rPr>
          <w:rFonts w:cs="Times New Roman"/>
          <w:szCs w:val="24"/>
        </w:rPr>
        <w:t>年在中石油企业内部全面推广，目前中石油各管道企业主要干支线管道的高后果区识别覆盖率为</w:t>
      </w:r>
      <w:r>
        <w:rPr>
          <w:rFonts w:cs="Times New Roman"/>
          <w:szCs w:val="24"/>
        </w:rPr>
        <w:t>100%</w:t>
      </w:r>
      <w:r>
        <w:rPr>
          <w:rFonts w:cs="Times New Roman"/>
          <w:szCs w:val="24"/>
        </w:rPr>
        <w:t>。</w:t>
      </w:r>
    </w:p>
    <w:p w14:paraId="2F7805F4" w14:textId="77777777" w:rsidR="00261EC6" w:rsidRDefault="00FF4B42">
      <w:pPr>
        <w:ind w:firstLineChars="200" w:firstLine="480"/>
        <w:rPr>
          <w:rFonts w:cs="Times New Roman"/>
          <w:szCs w:val="24"/>
        </w:rPr>
      </w:pPr>
      <w:r>
        <w:rPr>
          <w:rFonts w:cs="Times New Roman"/>
          <w:szCs w:val="24"/>
        </w:rPr>
        <w:t>2015</w:t>
      </w:r>
      <w:r>
        <w:rPr>
          <w:rFonts w:cs="Times New Roman"/>
          <w:szCs w:val="24"/>
        </w:rPr>
        <w:t>年国家强制性标准</w:t>
      </w:r>
      <w:r>
        <w:rPr>
          <w:rFonts w:cs="Times New Roman"/>
          <w:szCs w:val="24"/>
        </w:rPr>
        <w:t>GB32167-2015</w:t>
      </w:r>
      <w:r>
        <w:rPr>
          <w:rFonts w:cs="Times New Roman"/>
          <w:szCs w:val="24"/>
        </w:rPr>
        <w:t>《油气长输管道完整性管理规范》发布该标准对高后果区识别准则、识别要求、管理以及识别报告等进行了详细的规定。该标准共有</w:t>
      </w:r>
      <w:r>
        <w:rPr>
          <w:rFonts w:cs="Times New Roman"/>
          <w:szCs w:val="24"/>
        </w:rPr>
        <w:t>6</w:t>
      </w:r>
      <w:r>
        <w:rPr>
          <w:rFonts w:cs="Times New Roman"/>
          <w:szCs w:val="24"/>
        </w:rPr>
        <w:t>条强制条款，其中</w:t>
      </w:r>
      <w:r>
        <w:rPr>
          <w:rFonts w:cs="Times New Roman"/>
          <w:szCs w:val="24"/>
        </w:rPr>
        <w:t>3</w:t>
      </w:r>
      <w:r>
        <w:rPr>
          <w:rFonts w:cs="Times New Roman"/>
          <w:szCs w:val="24"/>
        </w:rPr>
        <w:t>条与高后果区相关，分别为：第</w:t>
      </w:r>
      <w:r>
        <w:rPr>
          <w:rFonts w:cs="Times New Roman"/>
          <w:szCs w:val="24"/>
        </w:rPr>
        <w:t>4.4</w:t>
      </w:r>
      <w:r>
        <w:rPr>
          <w:rFonts w:cs="Times New Roman"/>
          <w:szCs w:val="24"/>
        </w:rPr>
        <w:t>条</w:t>
      </w:r>
      <w:r>
        <w:rPr>
          <w:rFonts w:cs="Times New Roman"/>
          <w:szCs w:val="24"/>
        </w:rPr>
        <w:t>“</w:t>
      </w:r>
      <w:r>
        <w:rPr>
          <w:rFonts w:cs="Times New Roman"/>
          <w:szCs w:val="24"/>
        </w:rPr>
        <w:t>在建设期开展高后果区识别，优化路由选择。无法避绕高后果区时应采取安全防护措施</w:t>
      </w:r>
      <w:r>
        <w:rPr>
          <w:rFonts w:cs="Times New Roman"/>
          <w:szCs w:val="24"/>
        </w:rPr>
        <w:t>”</w:t>
      </w:r>
      <w:r>
        <w:rPr>
          <w:rFonts w:cs="Times New Roman"/>
          <w:szCs w:val="24"/>
        </w:rPr>
        <w:t>；第</w:t>
      </w:r>
      <w:r>
        <w:rPr>
          <w:rFonts w:cs="Times New Roman"/>
          <w:szCs w:val="24"/>
        </w:rPr>
        <w:t>4.5</w:t>
      </w:r>
      <w:r>
        <w:rPr>
          <w:rFonts w:cs="Times New Roman"/>
          <w:szCs w:val="24"/>
        </w:rPr>
        <w:t>条</w:t>
      </w:r>
      <w:r>
        <w:rPr>
          <w:rFonts w:cs="Times New Roman"/>
          <w:szCs w:val="24"/>
        </w:rPr>
        <w:t>“</w:t>
      </w:r>
      <w:r>
        <w:rPr>
          <w:rFonts w:cs="Times New Roman"/>
          <w:szCs w:val="24"/>
        </w:rPr>
        <w:t>管道运营期周期性地进行高后果区识别，识别时间间隔最长不超过</w:t>
      </w:r>
      <w:r>
        <w:rPr>
          <w:rFonts w:cs="Times New Roman"/>
          <w:szCs w:val="24"/>
        </w:rPr>
        <w:t>18</w:t>
      </w:r>
      <w:r>
        <w:rPr>
          <w:rFonts w:cs="Times New Roman"/>
          <w:szCs w:val="24"/>
        </w:rPr>
        <w:t>个月，当管道及周边环境发生变化，及时进行高后果区更新</w:t>
      </w:r>
      <w:r>
        <w:rPr>
          <w:rFonts w:cs="Times New Roman"/>
          <w:szCs w:val="24"/>
        </w:rPr>
        <w:t>”</w:t>
      </w:r>
      <w:r>
        <w:rPr>
          <w:rFonts w:cs="Times New Roman"/>
          <w:szCs w:val="24"/>
        </w:rPr>
        <w:t>；第</w:t>
      </w:r>
      <w:r>
        <w:rPr>
          <w:rFonts w:cs="Times New Roman"/>
          <w:szCs w:val="24"/>
        </w:rPr>
        <w:t>4.6</w:t>
      </w:r>
      <w:r>
        <w:rPr>
          <w:rFonts w:cs="Times New Roman"/>
          <w:szCs w:val="24"/>
        </w:rPr>
        <w:t>条</w:t>
      </w:r>
      <w:r>
        <w:rPr>
          <w:rFonts w:cs="Times New Roman"/>
          <w:szCs w:val="24"/>
        </w:rPr>
        <w:t>“</w:t>
      </w:r>
      <w:r>
        <w:rPr>
          <w:rFonts w:cs="Times New Roman"/>
          <w:szCs w:val="24"/>
        </w:rPr>
        <w:t>对高后果区管道进行风险评价</w:t>
      </w:r>
      <w:r>
        <w:rPr>
          <w:rFonts w:cs="Times New Roman"/>
          <w:szCs w:val="24"/>
        </w:rPr>
        <w:t>”</w:t>
      </w:r>
      <w:r>
        <w:rPr>
          <w:rFonts w:cs="Times New Roman"/>
          <w:szCs w:val="24"/>
        </w:rPr>
        <w:t>。</w:t>
      </w:r>
    </w:p>
    <w:p w14:paraId="2F7805F5" w14:textId="77777777" w:rsidR="00261EC6" w:rsidRDefault="00FF4B42">
      <w:pPr>
        <w:ind w:firstLineChars="200" w:firstLine="480"/>
        <w:rPr>
          <w:rFonts w:cs="Times New Roman"/>
          <w:b/>
          <w:bCs/>
          <w:szCs w:val="24"/>
        </w:rPr>
      </w:pPr>
      <w:r>
        <w:rPr>
          <w:rFonts w:cs="Times New Roman"/>
          <w:szCs w:val="24"/>
        </w:rPr>
        <w:t>2016</w:t>
      </w:r>
      <w:r>
        <w:rPr>
          <w:rFonts w:cs="Times New Roman"/>
          <w:szCs w:val="24"/>
        </w:rPr>
        <w:t>年国家发展与改革委员会、国家能源局、国资委、国家质监局、国家安监局五部委联合发布了《全面推行油气输送管道完整性管理的通知》</w:t>
      </w:r>
      <w:r>
        <w:rPr>
          <w:rFonts w:cs="Times New Roman"/>
          <w:szCs w:val="24"/>
        </w:rPr>
        <w:t>[</w:t>
      </w:r>
      <w:r>
        <w:rPr>
          <w:rFonts w:cs="Times New Roman"/>
          <w:szCs w:val="24"/>
        </w:rPr>
        <w:t>发改能源（</w:t>
      </w:r>
      <w:r>
        <w:rPr>
          <w:rFonts w:cs="Times New Roman"/>
          <w:szCs w:val="24"/>
        </w:rPr>
        <w:t>2016</w:t>
      </w:r>
      <w:r>
        <w:rPr>
          <w:rFonts w:cs="Times New Roman"/>
          <w:szCs w:val="24"/>
        </w:rPr>
        <w:t>）</w:t>
      </w:r>
      <w:r>
        <w:rPr>
          <w:rFonts w:cs="Times New Roman"/>
          <w:szCs w:val="24"/>
        </w:rPr>
        <w:t>2197]</w:t>
      </w:r>
      <w:r>
        <w:rPr>
          <w:rFonts w:cs="Times New Roman"/>
          <w:szCs w:val="24"/>
        </w:rPr>
        <w:t>，通知提出，按照《国务院安全生产委员会关于印发</w:t>
      </w:r>
      <w:r>
        <w:rPr>
          <w:rFonts w:cs="Times New Roman"/>
          <w:szCs w:val="24"/>
        </w:rPr>
        <w:t>2016</w:t>
      </w:r>
      <w:r>
        <w:rPr>
          <w:rFonts w:cs="Times New Roman"/>
          <w:szCs w:val="24"/>
        </w:rPr>
        <w:t>年油气输送管道安全隐患整治攻坚战工作要点的通知》（安委</w:t>
      </w:r>
      <w:r>
        <w:rPr>
          <w:rFonts w:cs="Times New Roman"/>
          <w:szCs w:val="24"/>
        </w:rPr>
        <w:t>[2016]6</w:t>
      </w:r>
      <w:r>
        <w:rPr>
          <w:rFonts w:cs="Times New Roman"/>
          <w:szCs w:val="24"/>
        </w:rPr>
        <w:t>号）要求，依据《石油天然气管道保护法》和《油气输送管道完整性管理规范》（</w:t>
      </w:r>
      <w:r>
        <w:rPr>
          <w:rFonts w:cs="Times New Roman"/>
          <w:szCs w:val="24"/>
        </w:rPr>
        <w:t>GB32167-2015</w:t>
      </w:r>
      <w:r>
        <w:rPr>
          <w:rFonts w:cs="Times New Roman"/>
          <w:szCs w:val="24"/>
        </w:rPr>
        <w:t>）（以下简称《管理规范》）等相关标准规范，为持续做好油气输送管道安全管理，</w:t>
      </w:r>
      <w:r>
        <w:rPr>
          <w:rFonts w:cs="Times New Roman"/>
          <w:szCs w:val="24"/>
        </w:rPr>
        <w:lastRenderedPageBreak/>
        <w:t>有效防范管道事故发生，全面推行油气输送管道全生命周期完整性管理，并提出了具体要求。管道高后果区识别工作作为开展完整性管理的一项基础工作，日益受到管道企业重视。</w:t>
      </w:r>
    </w:p>
    <w:p w14:paraId="2F7805F6" w14:textId="77777777" w:rsidR="00261EC6" w:rsidRDefault="00FF4B42">
      <w:pPr>
        <w:pStyle w:val="2"/>
        <w:spacing w:before="156" w:after="156"/>
        <w:rPr>
          <w:rFonts w:cs="Times New Roman"/>
        </w:rPr>
      </w:pPr>
      <w:bookmarkStart w:id="25" w:name="_Toc16608629"/>
      <w:r>
        <w:rPr>
          <w:rFonts w:cs="Times New Roman"/>
        </w:rPr>
        <w:t>3.3</w:t>
      </w:r>
      <w:r>
        <w:rPr>
          <w:rFonts w:cs="Times New Roman"/>
        </w:rPr>
        <w:t>相关技术标准</w:t>
      </w:r>
      <w:bookmarkEnd w:id="25"/>
    </w:p>
    <w:p w14:paraId="2F7805F7" w14:textId="77777777" w:rsidR="00261EC6" w:rsidRDefault="00FF4B42">
      <w:pPr>
        <w:ind w:firstLineChars="200" w:firstLine="480"/>
        <w:rPr>
          <w:rFonts w:cs="Times New Roman"/>
          <w:szCs w:val="24"/>
        </w:rPr>
      </w:pPr>
      <w:r>
        <w:rPr>
          <w:rFonts w:cs="Times New Roman"/>
          <w:szCs w:val="24"/>
        </w:rPr>
        <w:t>高后果区的识别应严格按标准要求开展，确定高后果区的类型、识别距离与高后果区等级。涉及到高后果区识别的相关技术标准有：</w:t>
      </w:r>
    </w:p>
    <w:p w14:paraId="2F7805F8" w14:textId="77777777" w:rsidR="00261EC6" w:rsidRDefault="00FF4B42">
      <w:pPr>
        <w:numPr>
          <w:ilvl w:val="0"/>
          <w:numId w:val="4"/>
        </w:numPr>
        <w:rPr>
          <w:rFonts w:cs="Times New Roman"/>
          <w:szCs w:val="24"/>
        </w:rPr>
      </w:pPr>
      <w:r>
        <w:rPr>
          <w:rFonts w:cs="Times New Roman"/>
          <w:szCs w:val="24"/>
        </w:rPr>
        <w:t>GB32167-2015</w:t>
      </w:r>
      <w:r>
        <w:rPr>
          <w:rFonts w:cs="Times New Roman"/>
          <w:szCs w:val="24"/>
        </w:rPr>
        <w:t>《油气输送管道完整性管理规范》</w:t>
      </w:r>
    </w:p>
    <w:p w14:paraId="2F7805F9" w14:textId="77777777" w:rsidR="00261EC6" w:rsidRDefault="00FF4B42">
      <w:pPr>
        <w:numPr>
          <w:ilvl w:val="0"/>
          <w:numId w:val="4"/>
        </w:numPr>
        <w:rPr>
          <w:rFonts w:cs="Times New Roman"/>
          <w:szCs w:val="24"/>
        </w:rPr>
      </w:pPr>
      <w:r>
        <w:rPr>
          <w:rFonts w:cs="Times New Roman"/>
          <w:szCs w:val="24"/>
        </w:rPr>
        <w:t>TSGD7003-2010</w:t>
      </w:r>
      <w:r>
        <w:rPr>
          <w:rFonts w:cs="Times New Roman"/>
          <w:szCs w:val="24"/>
        </w:rPr>
        <w:t>《压力管道定期检验规则</w:t>
      </w:r>
      <w:r>
        <w:rPr>
          <w:rFonts w:cs="Times New Roman"/>
          <w:szCs w:val="24"/>
        </w:rPr>
        <w:t xml:space="preserve"> </w:t>
      </w:r>
      <w:r>
        <w:rPr>
          <w:rFonts w:cs="Times New Roman"/>
          <w:szCs w:val="24"/>
        </w:rPr>
        <w:t>长输油气管道》</w:t>
      </w:r>
    </w:p>
    <w:p w14:paraId="2F7805FA" w14:textId="77777777" w:rsidR="00261EC6" w:rsidRDefault="00FF4B42">
      <w:pPr>
        <w:numPr>
          <w:ilvl w:val="0"/>
          <w:numId w:val="4"/>
        </w:numPr>
        <w:rPr>
          <w:rFonts w:cs="Times New Roman"/>
          <w:szCs w:val="24"/>
        </w:rPr>
      </w:pPr>
      <w:r>
        <w:rPr>
          <w:rFonts w:cs="Times New Roman"/>
          <w:szCs w:val="24"/>
        </w:rPr>
        <w:t>Q/SY1180.2-2014</w:t>
      </w:r>
      <w:r>
        <w:rPr>
          <w:rFonts w:cs="Times New Roman"/>
          <w:szCs w:val="24"/>
        </w:rPr>
        <w:t>《管道完整性管理规范</w:t>
      </w:r>
      <w:r>
        <w:rPr>
          <w:rFonts w:cs="Times New Roman"/>
          <w:szCs w:val="24"/>
        </w:rPr>
        <w:t xml:space="preserve"> </w:t>
      </w:r>
      <w:r>
        <w:rPr>
          <w:rFonts w:cs="Times New Roman"/>
          <w:szCs w:val="24"/>
        </w:rPr>
        <w:t>第</w:t>
      </w:r>
      <w:r>
        <w:rPr>
          <w:rFonts w:cs="Times New Roman"/>
          <w:szCs w:val="24"/>
        </w:rPr>
        <w:t>2</w:t>
      </w:r>
      <w:r>
        <w:rPr>
          <w:rFonts w:cs="Times New Roman"/>
          <w:szCs w:val="24"/>
        </w:rPr>
        <w:t>部分</w:t>
      </w:r>
      <w:r>
        <w:rPr>
          <w:rFonts w:cs="Times New Roman"/>
          <w:szCs w:val="24"/>
        </w:rPr>
        <w:t xml:space="preserve"> </w:t>
      </w:r>
      <w:r>
        <w:rPr>
          <w:rFonts w:cs="Times New Roman"/>
          <w:szCs w:val="24"/>
        </w:rPr>
        <w:t>管道高后果区识别》</w:t>
      </w:r>
    </w:p>
    <w:p w14:paraId="2F7805FB" w14:textId="77777777" w:rsidR="00261EC6" w:rsidRDefault="00FF4B42">
      <w:pPr>
        <w:numPr>
          <w:ilvl w:val="0"/>
          <w:numId w:val="4"/>
        </w:numPr>
        <w:rPr>
          <w:rFonts w:cs="Times New Roman"/>
          <w:szCs w:val="24"/>
        </w:rPr>
      </w:pPr>
      <w:r>
        <w:rPr>
          <w:rFonts w:cs="Times New Roman"/>
          <w:szCs w:val="24"/>
        </w:rPr>
        <w:t>SY/T6975-2014</w:t>
      </w:r>
      <w:r>
        <w:rPr>
          <w:rFonts w:cs="Times New Roman"/>
          <w:szCs w:val="24"/>
        </w:rPr>
        <w:t>《管道系统完整性管理实施指南》</w:t>
      </w:r>
    </w:p>
    <w:p w14:paraId="2F7805FC" w14:textId="77777777" w:rsidR="00261EC6" w:rsidRDefault="00FF4B42">
      <w:pPr>
        <w:ind w:firstLineChars="200" w:firstLine="480"/>
        <w:rPr>
          <w:rFonts w:cs="Times New Roman"/>
          <w:szCs w:val="24"/>
        </w:rPr>
      </w:pPr>
      <w:r>
        <w:rPr>
          <w:rFonts w:cs="Times New Roman"/>
          <w:szCs w:val="24"/>
        </w:rPr>
        <w:t>其中前三个为强制性标准（企标针对企业内部为强制），后一个为推荐性标准。</w:t>
      </w:r>
      <w:r>
        <w:rPr>
          <w:rFonts w:cs="Times New Roman"/>
          <w:szCs w:val="24"/>
        </w:rPr>
        <w:t>Q/SY1180.2</w:t>
      </w:r>
      <w:r>
        <w:rPr>
          <w:rFonts w:cs="Times New Roman"/>
          <w:szCs w:val="24"/>
        </w:rPr>
        <w:t>是国内高后果区识别最早的技术标准，无高后果区分级，再识别周期为</w:t>
      </w:r>
      <w:r>
        <w:rPr>
          <w:rFonts w:cs="Times New Roman"/>
          <w:szCs w:val="24"/>
        </w:rPr>
        <w:t>12</w:t>
      </w:r>
      <w:r>
        <w:rPr>
          <w:rFonts w:cs="Times New Roman"/>
          <w:szCs w:val="24"/>
        </w:rPr>
        <w:t>个月；</w:t>
      </w:r>
      <w:r>
        <w:rPr>
          <w:rFonts w:cs="Times New Roman"/>
          <w:szCs w:val="24"/>
        </w:rPr>
        <w:t>GB32167</w:t>
      </w:r>
      <w:r>
        <w:rPr>
          <w:rFonts w:cs="Times New Roman"/>
          <w:szCs w:val="24"/>
        </w:rPr>
        <w:t>为目前国内高后果区识别主要依据，其设置了高后果区分级，再识别周期为</w:t>
      </w:r>
      <w:r>
        <w:rPr>
          <w:rFonts w:cs="Times New Roman"/>
          <w:szCs w:val="24"/>
        </w:rPr>
        <w:t>18</w:t>
      </w:r>
      <w:r>
        <w:rPr>
          <w:rFonts w:cs="Times New Roman"/>
          <w:szCs w:val="24"/>
        </w:rPr>
        <w:t>个月；</w:t>
      </w:r>
      <w:r>
        <w:rPr>
          <w:rFonts w:cs="Times New Roman"/>
          <w:szCs w:val="24"/>
        </w:rPr>
        <w:t>TSGD7003</w:t>
      </w:r>
      <w:r>
        <w:rPr>
          <w:rFonts w:cs="Times New Roman"/>
          <w:szCs w:val="24"/>
        </w:rPr>
        <w:t>为特种设备安全技术规范，其中有事故后果严重区概念与高后果区概念类似，可参照执行。在实际的高后果区识别工作中，一般依据国家标准</w:t>
      </w:r>
      <w:r>
        <w:rPr>
          <w:rFonts w:cs="Times New Roman"/>
          <w:szCs w:val="24"/>
        </w:rPr>
        <w:t>GB32167-2015</w:t>
      </w:r>
      <w:r>
        <w:rPr>
          <w:rFonts w:cs="Times New Roman"/>
          <w:szCs w:val="24"/>
        </w:rPr>
        <w:t>《油气输送管道完整性管理规范》开展。</w:t>
      </w:r>
    </w:p>
    <w:p w14:paraId="2F7805FD" w14:textId="77777777" w:rsidR="00261EC6" w:rsidRDefault="00FF4B42">
      <w:pPr>
        <w:ind w:firstLineChars="200" w:firstLine="480"/>
        <w:rPr>
          <w:rFonts w:cs="Times New Roman"/>
          <w:b/>
          <w:bCs/>
          <w:sz w:val="21"/>
          <w:szCs w:val="21"/>
        </w:rPr>
      </w:pPr>
      <w:r>
        <w:rPr>
          <w:rFonts w:cs="Times New Roman"/>
          <w:szCs w:val="24"/>
        </w:rPr>
        <w:t>本次高后果区识别工作依据中华人民共和国国家标准《油气输送管道完整性管理规范》（</w:t>
      </w:r>
      <w:r>
        <w:rPr>
          <w:rFonts w:cs="Times New Roman"/>
          <w:szCs w:val="24"/>
        </w:rPr>
        <w:t>GB32167-2015</w:t>
      </w:r>
      <w:r>
        <w:rPr>
          <w:rFonts w:cs="Times New Roman"/>
          <w:szCs w:val="24"/>
        </w:rPr>
        <w:t>），具体识别过程遵照标准的第</w:t>
      </w:r>
      <w:r>
        <w:rPr>
          <w:rFonts w:cs="Times New Roman"/>
          <w:szCs w:val="24"/>
        </w:rPr>
        <w:t>6.1.1</w:t>
      </w:r>
      <w:r>
        <w:rPr>
          <w:rFonts w:cs="Times New Roman"/>
          <w:szCs w:val="24"/>
        </w:rPr>
        <w:t>条、第</w:t>
      </w:r>
      <w:r>
        <w:rPr>
          <w:rFonts w:cs="Times New Roman"/>
          <w:szCs w:val="24"/>
        </w:rPr>
        <w:t>6.2</w:t>
      </w:r>
      <w:r>
        <w:rPr>
          <w:rFonts w:cs="Times New Roman"/>
          <w:szCs w:val="24"/>
        </w:rPr>
        <w:t>条及附录</w:t>
      </w:r>
      <w:r>
        <w:rPr>
          <w:rFonts w:cs="Times New Roman"/>
          <w:szCs w:val="24"/>
        </w:rPr>
        <w:t>D.1</w:t>
      </w:r>
      <w:r>
        <w:rPr>
          <w:rFonts w:cs="Times New Roman"/>
          <w:szCs w:val="24"/>
        </w:rPr>
        <w:t>开展，识别规则见表</w:t>
      </w:r>
      <w:r>
        <w:rPr>
          <w:rFonts w:cs="Times New Roman"/>
          <w:szCs w:val="24"/>
        </w:rPr>
        <w:t>3.3-1</w:t>
      </w:r>
      <w:r>
        <w:rPr>
          <w:rFonts w:cs="Times New Roman"/>
          <w:szCs w:val="24"/>
        </w:rPr>
        <w:t>。</w:t>
      </w:r>
    </w:p>
    <w:p w14:paraId="2F7805FE" w14:textId="77777777" w:rsidR="00261EC6" w:rsidRDefault="00FF4B42">
      <w:pPr>
        <w:ind w:firstLineChars="200" w:firstLine="422"/>
        <w:jc w:val="center"/>
        <w:rPr>
          <w:rFonts w:cs="Times New Roman"/>
          <w:b/>
          <w:bCs/>
          <w:sz w:val="21"/>
          <w:szCs w:val="21"/>
        </w:rPr>
      </w:pPr>
      <w:r>
        <w:rPr>
          <w:rFonts w:cs="Times New Roman"/>
          <w:b/>
          <w:bCs/>
          <w:sz w:val="21"/>
          <w:szCs w:val="21"/>
        </w:rPr>
        <w:t>表</w:t>
      </w:r>
      <w:r>
        <w:rPr>
          <w:rFonts w:cs="Times New Roman"/>
          <w:b/>
          <w:bCs/>
          <w:sz w:val="21"/>
          <w:szCs w:val="21"/>
        </w:rPr>
        <w:t xml:space="preserve">3.3-1 </w:t>
      </w:r>
      <w:r>
        <w:rPr>
          <w:rFonts w:cs="Times New Roman"/>
          <w:b/>
          <w:bCs/>
          <w:sz w:val="21"/>
          <w:szCs w:val="21"/>
        </w:rPr>
        <w:t>输油管道高后果区管段识别分级表</w:t>
      </w:r>
    </w:p>
    <w:tbl>
      <w:tblPr>
        <w:tblStyle w:val="ab"/>
        <w:tblW w:w="8522" w:type="dxa"/>
        <w:tblLayout w:type="fixed"/>
        <w:tblLook w:val="04A0" w:firstRow="1" w:lastRow="0" w:firstColumn="1" w:lastColumn="0" w:noHBand="0" w:noVBand="1"/>
      </w:tblPr>
      <w:tblGrid>
        <w:gridCol w:w="676"/>
        <w:gridCol w:w="6951"/>
        <w:gridCol w:w="895"/>
      </w:tblGrid>
      <w:tr w:rsidR="00261EC6" w14:paraId="2F780602" w14:textId="77777777">
        <w:trPr>
          <w:trHeight w:val="731"/>
        </w:trPr>
        <w:tc>
          <w:tcPr>
            <w:tcW w:w="676" w:type="dxa"/>
            <w:tcBorders>
              <w:top w:val="single" w:sz="8" w:space="0" w:color="4F81BD"/>
              <w:left w:val="single" w:sz="8" w:space="0" w:color="4F81BD"/>
              <w:bottom w:val="single" w:sz="4" w:space="0" w:color="FFFFFF"/>
              <w:right w:val="single" w:sz="8" w:space="0" w:color="4F81BD"/>
            </w:tcBorders>
            <w:shd w:val="clear" w:color="auto" w:fill="4F81BD"/>
            <w:vAlign w:val="center"/>
          </w:tcPr>
          <w:p w14:paraId="2F7805FF" w14:textId="77777777" w:rsidR="00261EC6" w:rsidRDefault="00FF4B42">
            <w:pPr>
              <w:spacing w:line="240" w:lineRule="auto"/>
              <w:jc w:val="center"/>
              <w:rPr>
                <w:rFonts w:asciiTheme="minorEastAsia" w:hAnsiTheme="minorEastAsia" w:cstheme="minorEastAsia"/>
                <w:kern w:val="0"/>
                <w:sz w:val="21"/>
                <w:szCs w:val="21"/>
              </w:rPr>
            </w:pPr>
            <w:r>
              <w:rPr>
                <w:rFonts w:asciiTheme="minorEastAsia" w:hAnsiTheme="minorEastAsia" w:cstheme="minorEastAsia" w:hint="eastAsia"/>
                <w:kern w:val="0"/>
                <w:sz w:val="21"/>
                <w:szCs w:val="21"/>
              </w:rPr>
              <w:t>管道类型</w:t>
            </w:r>
          </w:p>
        </w:tc>
        <w:tc>
          <w:tcPr>
            <w:tcW w:w="6951" w:type="dxa"/>
            <w:tcBorders>
              <w:top w:val="single" w:sz="8" w:space="0" w:color="4F81BD"/>
              <w:left w:val="single" w:sz="8" w:space="0" w:color="4F81BD"/>
              <w:bottom w:val="single" w:sz="4" w:space="0" w:color="FFFFFF"/>
              <w:right w:val="single" w:sz="8" w:space="0" w:color="4F81BD"/>
            </w:tcBorders>
            <w:shd w:val="clear" w:color="auto" w:fill="4F81BD"/>
            <w:vAlign w:val="center"/>
          </w:tcPr>
          <w:p w14:paraId="2F780600" w14:textId="77777777" w:rsidR="00261EC6" w:rsidRDefault="00FF4B42">
            <w:pPr>
              <w:spacing w:line="240" w:lineRule="auto"/>
              <w:jc w:val="center"/>
              <w:rPr>
                <w:rFonts w:asciiTheme="minorEastAsia" w:hAnsiTheme="minorEastAsia" w:cstheme="minorEastAsia"/>
                <w:kern w:val="0"/>
                <w:sz w:val="21"/>
                <w:szCs w:val="21"/>
              </w:rPr>
            </w:pPr>
            <w:r>
              <w:rPr>
                <w:rFonts w:asciiTheme="minorEastAsia" w:hAnsiTheme="minorEastAsia" w:cstheme="minorEastAsia" w:hint="eastAsia"/>
                <w:kern w:val="0"/>
                <w:sz w:val="21"/>
                <w:szCs w:val="21"/>
              </w:rPr>
              <w:t>识别项</w:t>
            </w:r>
          </w:p>
        </w:tc>
        <w:tc>
          <w:tcPr>
            <w:tcW w:w="895" w:type="dxa"/>
            <w:tcBorders>
              <w:top w:val="single" w:sz="8" w:space="0" w:color="4F81BD"/>
              <w:left w:val="single" w:sz="8" w:space="0" w:color="4F81BD"/>
              <w:bottom w:val="single" w:sz="4" w:space="0" w:color="FFFFFF"/>
              <w:right w:val="single" w:sz="8" w:space="0" w:color="4F81BD"/>
            </w:tcBorders>
            <w:shd w:val="clear" w:color="auto" w:fill="4F81BD"/>
            <w:vAlign w:val="center"/>
          </w:tcPr>
          <w:p w14:paraId="2F780601" w14:textId="77777777" w:rsidR="00261EC6" w:rsidRDefault="00FF4B42">
            <w:pPr>
              <w:spacing w:line="240" w:lineRule="auto"/>
              <w:jc w:val="center"/>
              <w:rPr>
                <w:rFonts w:asciiTheme="minorEastAsia" w:hAnsiTheme="minorEastAsia" w:cstheme="minorEastAsia"/>
                <w:kern w:val="0"/>
                <w:sz w:val="21"/>
                <w:szCs w:val="21"/>
              </w:rPr>
            </w:pPr>
            <w:r>
              <w:rPr>
                <w:rFonts w:asciiTheme="minorEastAsia" w:hAnsiTheme="minorEastAsia" w:cstheme="minorEastAsia" w:hint="eastAsia"/>
                <w:kern w:val="0"/>
                <w:sz w:val="21"/>
                <w:szCs w:val="21"/>
              </w:rPr>
              <w:t>分级</w:t>
            </w:r>
          </w:p>
        </w:tc>
      </w:tr>
      <w:tr w:rsidR="00261EC6" w14:paraId="2F780606" w14:textId="77777777">
        <w:trPr>
          <w:trHeight w:val="1086"/>
        </w:trPr>
        <w:tc>
          <w:tcPr>
            <w:tcW w:w="676" w:type="dxa"/>
            <w:vMerge w:val="restart"/>
            <w:tcBorders>
              <w:top w:val="single" w:sz="4" w:space="0" w:color="FFFFFF"/>
              <w:left w:val="single" w:sz="8" w:space="0" w:color="4F81BD"/>
              <w:bottom w:val="single" w:sz="8" w:space="0" w:color="4F81BD"/>
              <w:right w:val="single" w:sz="8" w:space="0" w:color="4F81BD"/>
            </w:tcBorders>
            <w:shd w:val="clear" w:color="auto" w:fill="B8CCE4"/>
            <w:vAlign w:val="center"/>
          </w:tcPr>
          <w:p w14:paraId="2F780603" w14:textId="77777777" w:rsidR="00261EC6" w:rsidRDefault="00FF4B42">
            <w:pPr>
              <w:spacing w:line="240" w:lineRule="auto"/>
              <w:jc w:val="center"/>
              <w:rPr>
                <w:rFonts w:asciiTheme="minorEastAsia" w:hAnsiTheme="minorEastAsia" w:cstheme="minorEastAsia"/>
                <w:kern w:val="0"/>
                <w:sz w:val="21"/>
                <w:szCs w:val="21"/>
              </w:rPr>
            </w:pPr>
            <w:r>
              <w:rPr>
                <w:rFonts w:asciiTheme="minorEastAsia" w:hAnsiTheme="minorEastAsia" w:cstheme="minorEastAsia" w:hint="eastAsia"/>
                <w:kern w:val="0"/>
                <w:sz w:val="21"/>
                <w:szCs w:val="21"/>
              </w:rPr>
              <w:t>输油管道</w:t>
            </w:r>
          </w:p>
        </w:tc>
        <w:tc>
          <w:tcPr>
            <w:tcW w:w="6951" w:type="dxa"/>
            <w:tcBorders>
              <w:top w:val="single" w:sz="4" w:space="0" w:color="FFFFFF"/>
              <w:left w:val="single" w:sz="8" w:space="0" w:color="4F81BD"/>
              <w:bottom w:val="single" w:sz="8" w:space="0" w:color="4F81BD"/>
              <w:right w:val="single" w:sz="8" w:space="0" w:color="4F81BD"/>
            </w:tcBorders>
            <w:shd w:val="clear" w:color="auto" w:fill="B8CCE4"/>
            <w:vAlign w:val="center"/>
          </w:tcPr>
          <w:p w14:paraId="2F780604" w14:textId="77777777" w:rsidR="00261EC6" w:rsidRDefault="00FF4B42">
            <w:pPr>
              <w:spacing w:line="240" w:lineRule="auto"/>
              <w:rPr>
                <w:rFonts w:asciiTheme="minorEastAsia" w:hAnsiTheme="minorEastAsia" w:cstheme="minorEastAsia"/>
                <w:kern w:val="0"/>
                <w:sz w:val="21"/>
                <w:szCs w:val="21"/>
              </w:rPr>
            </w:pPr>
            <w:r>
              <w:rPr>
                <w:rFonts w:asciiTheme="minorEastAsia" w:hAnsiTheme="minorEastAsia" w:cstheme="minorEastAsia" w:hint="eastAsia"/>
                <w:kern w:val="0"/>
                <w:sz w:val="21"/>
                <w:szCs w:val="21"/>
              </w:rPr>
              <w:t>a）管道中心线两侧各200m范围内，任意划分成长度为2km并能包括最大聚居户数的若干地段，四层及四层以上楼房（不计地下室层数）普遍集中、交通频繁、地下设施多的区段。</w:t>
            </w:r>
          </w:p>
        </w:tc>
        <w:tc>
          <w:tcPr>
            <w:tcW w:w="895" w:type="dxa"/>
            <w:tcBorders>
              <w:top w:val="single" w:sz="4" w:space="0" w:color="FFFFFF"/>
              <w:left w:val="single" w:sz="8" w:space="0" w:color="4F81BD"/>
              <w:bottom w:val="single" w:sz="8" w:space="0" w:color="4F81BD"/>
              <w:right w:val="single" w:sz="8" w:space="0" w:color="4F81BD"/>
            </w:tcBorders>
            <w:shd w:val="clear" w:color="auto" w:fill="B8CCE4"/>
            <w:vAlign w:val="center"/>
          </w:tcPr>
          <w:p w14:paraId="2F780605" w14:textId="77777777" w:rsidR="00261EC6" w:rsidRDefault="00FF4B42">
            <w:pPr>
              <w:spacing w:line="240" w:lineRule="auto"/>
              <w:jc w:val="center"/>
              <w:rPr>
                <w:rFonts w:asciiTheme="minorEastAsia" w:hAnsiTheme="minorEastAsia" w:cstheme="minorEastAsia"/>
                <w:kern w:val="0"/>
                <w:sz w:val="21"/>
                <w:szCs w:val="21"/>
              </w:rPr>
            </w:pPr>
            <w:r>
              <w:rPr>
                <w:rFonts w:asciiTheme="minorEastAsia" w:hAnsiTheme="minorEastAsia" w:cstheme="minorEastAsia" w:hint="eastAsia"/>
                <w:kern w:val="0"/>
                <w:sz w:val="21"/>
                <w:szCs w:val="21"/>
              </w:rPr>
              <w:t>Ⅲ级</w:t>
            </w:r>
          </w:p>
        </w:tc>
      </w:tr>
      <w:tr w:rsidR="00261EC6" w14:paraId="2F78060A" w14:textId="77777777">
        <w:trPr>
          <w:trHeight w:val="1086"/>
        </w:trPr>
        <w:tc>
          <w:tcPr>
            <w:tcW w:w="676"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14:paraId="2F780607" w14:textId="77777777" w:rsidR="00261EC6" w:rsidRDefault="00261EC6">
            <w:pPr>
              <w:spacing w:line="240" w:lineRule="auto"/>
              <w:jc w:val="center"/>
              <w:rPr>
                <w:rFonts w:asciiTheme="minorEastAsia" w:hAnsiTheme="minorEastAsia" w:cstheme="minorEastAsia"/>
                <w:kern w:val="0"/>
                <w:sz w:val="21"/>
                <w:szCs w:val="21"/>
              </w:rPr>
            </w:pPr>
          </w:p>
        </w:tc>
        <w:tc>
          <w:tcPr>
            <w:tcW w:w="6951"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2F780608" w14:textId="77777777" w:rsidR="00261EC6" w:rsidRDefault="00FF4B42">
            <w:pPr>
              <w:spacing w:line="240" w:lineRule="auto"/>
              <w:rPr>
                <w:rFonts w:asciiTheme="minorEastAsia" w:hAnsiTheme="minorEastAsia" w:cstheme="minorEastAsia"/>
                <w:kern w:val="0"/>
                <w:sz w:val="21"/>
                <w:szCs w:val="21"/>
              </w:rPr>
            </w:pPr>
            <w:r>
              <w:rPr>
                <w:rFonts w:asciiTheme="minorEastAsia" w:hAnsiTheme="minorEastAsia" w:cstheme="minorEastAsia" w:hint="eastAsia"/>
                <w:kern w:val="0"/>
                <w:sz w:val="21"/>
                <w:szCs w:val="21"/>
              </w:rPr>
              <w:t>b）管道中心线两侧各200m范围内，任意划分2km长度并能包括最大聚居户数的若干地段，户数在100户或以上的区段，包括市郊居住区、商业区、工业区、发展区以及不够四级地区条件的人口稠密区。</w:t>
            </w:r>
          </w:p>
        </w:tc>
        <w:tc>
          <w:tcPr>
            <w:tcW w:w="895"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2F780609" w14:textId="77777777" w:rsidR="00261EC6" w:rsidRDefault="00FF4B42">
            <w:pPr>
              <w:spacing w:line="240" w:lineRule="auto"/>
              <w:jc w:val="center"/>
              <w:rPr>
                <w:rFonts w:asciiTheme="minorEastAsia" w:hAnsiTheme="minorEastAsia" w:cstheme="minorEastAsia"/>
                <w:kern w:val="0"/>
                <w:sz w:val="21"/>
                <w:szCs w:val="21"/>
              </w:rPr>
            </w:pPr>
            <w:r>
              <w:rPr>
                <w:rFonts w:asciiTheme="minorEastAsia" w:hAnsiTheme="minorEastAsia" w:cstheme="minorEastAsia" w:hint="eastAsia"/>
                <w:kern w:val="0"/>
                <w:sz w:val="21"/>
                <w:szCs w:val="21"/>
              </w:rPr>
              <w:t>Ⅱ级</w:t>
            </w:r>
          </w:p>
        </w:tc>
      </w:tr>
      <w:tr w:rsidR="00261EC6" w14:paraId="2F78060E" w14:textId="77777777">
        <w:trPr>
          <w:trHeight w:val="376"/>
        </w:trPr>
        <w:tc>
          <w:tcPr>
            <w:tcW w:w="676" w:type="dxa"/>
            <w:vMerge/>
            <w:tcBorders>
              <w:top w:val="single" w:sz="8" w:space="0" w:color="4F81BD"/>
              <w:left w:val="single" w:sz="8" w:space="0" w:color="4F81BD"/>
              <w:bottom w:val="single" w:sz="8" w:space="0" w:color="4F81BD"/>
              <w:right w:val="single" w:sz="8" w:space="0" w:color="4F81BD"/>
            </w:tcBorders>
            <w:shd w:val="clear" w:color="auto" w:fill="B8CCE4"/>
            <w:vAlign w:val="center"/>
          </w:tcPr>
          <w:p w14:paraId="2F78060B" w14:textId="77777777" w:rsidR="00261EC6" w:rsidRDefault="00261EC6">
            <w:pPr>
              <w:spacing w:line="240" w:lineRule="auto"/>
              <w:jc w:val="center"/>
              <w:rPr>
                <w:rFonts w:asciiTheme="minorEastAsia" w:hAnsiTheme="minorEastAsia" w:cstheme="minorEastAsia"/>
                <w:kern w:val="0"/>
                <w:sz w:val="21"/>
                <w:szCs w:val="21"/>
              </w:rPr>
            </w:pPr>
          </w:p>
        </w:tc>
        <w:tc>
          <w:tcPr>
            <w:tcW w:w="6951"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2F78060C" w14:textId="77777777" w:rsidR="00261EC6" w:rsidRDefault="00FF4B42">
            <w:pPr>
              <w:spacing w:line="240" w:lineRule="auto"/>
              <w:rPr>
                <w:rFonts w:asciiTheme="minorEastAsia" w:hAnsiTheme="minorEastAsia" w:cstheme="minorEastAsia"/>
                <w:kern w:val="0"/>
                <w:sz w:val="21"/>
                <w:szCs w:val="21"/>
              </w:rPr>
            </w:pPr>
            <w:r>
              <w:rPr>
                <w:rFonts w:asciiTheme="minorEastAsia" w:hAnsiTheme="minorEastAsia" w:cstheme="minorEastAsia" w:hint="eastAsia"/>
                <w:kern w:val="0"/>
                <w:sz w:val="21"/>
                <w:szCs w:val="21"/>
              </w:rPr>
              <w:t>c）管道两侧各200m内有聚居户数在50户或以上的村庄、乡镇等</w:t>
            </w:r>
          </w:p>
        </w:tc>
        <w:tc>
          <w:tcPr>
            <w:tcW w:w="895"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2F78060D" w14:textId="77777777" w:rsidR="00261EC6" w:rsidRDefault="00FF4B42">
            <w:pPr>
              <w:spacing w:line="240" w:lineRule="auto"/>
              <w:jc w:val="center"/>
              <w:rPr>
                <w:rFonts w:asciiTheme="minorEastAsia" w:hAnsiTheme="minorEastAsia" w:cstheme="minorEastAsia"/>
                <w:kern w:val="0"/>
                <w:sz w:val="21"/>
                <w:szCs w:val="21"/>
              </w:rPr>
            </w:pPr>
            <w:r>
              <w:rPr>
                <w:rFonts w:asciiTheme="minorEastAsia" w:hAnsiTheme="minorEastAsia" w:cstheme="minorEastAsia" w:hint="eastAsia"/>
                <w:kern w:val="0"/>
                <w:sz w:val="21"/>
                <w:szCs w:val="21"/>
              </w:rPr>
              <w:t>Ⅱ级</w:t>
            </w:r>
          </w:p>
        </w:tc>
      </w:tr>
      <w:tr w:rsidR="00261EC6" w14:paraId="2F780612" w14:textId="77777777">
        <w:trPr>
          <w:trHeight w:val="376"/>
        </w:trPr>
        <w:tc>
          <w:tcPr>
            <w:tcW w:w="676"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14:paraId="2F78060F" w14:textId="77777777" w:rsidR="00261EC6" w:rsidRDefault="00261EC6">
            <w:pPr>
              <w:spacing w:line="240" w:lineRule="auto"/>
              <w:jc w:val="center"/>
              <w:rPr>
                <w:rFonts w:asciiTheme="minorEastAsia" w:hAnsiTheme="minorEastAsia" w:cstheme="minorEastAsia"/>
                <w:kern w:val="0"/>
                <w:sz w:val="21"/>
                <w:szCs w:val="21"/>
              </w:rPr>
            </w:pPr>
          </w:p>
        </w:tc>
        <w:tc>
          <w:tcPr>
            <w:tcW w:w="6951"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2F780610" w14:textId="77777777" w:rsidR="00261EC6" w:rsidRDefault="00FF4B42">
            <w:pPr>
              <w:spacing w:line="240" w:lineRule="auto"/>
              <w:rPr>
                <w:rFonts w:asciiTheme="minorEastAsia" w:hAnsiTheme="minorEastAsia" w:cstheme="minorEastAsia"/>
                <w:kern w:val="0"/>
                <w:sz w:val="21"/>
                <w:szCs w:val="21"/>
              </w:rPr>
            </w:pPr>
            <w:r>
              <w:rPr>
                <w:rFonts w:asciiTheme="minorEastAsia" w:hAnsiTheme="minorEastAsia" w:cstheme="minorEastAsia" w:hint="eastAsia"/>
                <w:kern w:val="0"/>
                <w:sz w:val="21"/>
                <w:szCs w:val="21"/>
              </w:rPr>
              <w:t>d）管道两侧各50m内有高速公路、国道、省道、铁路及易燃易爆场所等</w:t>
            </w:r>
          </w:p>
        </w:tc>
        <w:tc>
          <w:tcPr>
            <w:tcW w:w="895"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2F780611" w14:textId="77777777" w:rsidR="00261EC6" w:rsidRDefault="00FF4B42">
            <w:pPr>
              <w:spacing w:line="240" w:lineRule="auto"/>
              <w:jc w:val="center"/>
              <w:rPr>
                <w:rFonts w:asciiTheme="minorEastAsia" w:hAnsiTheme="minorEastAsia" w:cstheme="minorEastAsia"/>
                <w:kern w:val="0"/>
                <w:sz w:val="21"/>
                <w:szCs w:val="21"/>
              </w:rPr>
            </w:pPr>
            <w:r>
              <w:rPr>
                <w:rFonts w:asciiTheme="minorEastAsia" w:hAnsiTheme="minorEastAsia" w:cstheme="minorEastAsia" w:hint="eastAsia"/>
                <w:kern w:val="0"/>
                <w:sz w:val="21"/>
                <w:szCs w:val="21"/>
              </w:rPr>
              <w:t>Ⅰ级</w:t>
            </w:r>
          </w:p>
        </w:tc>
      </w:tr>
      <w:tr w:rsidR="00261EC6" w14:paraId="2F780616" w14:textId="77777777">
        <w:trPr>
          <w:trHeight w:val="376"/>
        </w:trPr>
        <w:tc>
          <w:tcPr>
            <w:tcW w:w="676" w:type="dxa"/>
            <w:vMerge/>
            <w:tcBorders>
              <w:top w:val="single" w:sz="8" w:space="0" w:color="4F81BD"/>
              <w:left w:val="single" w:sz="8" w:space="0" w:color="4F81BD"/>
              <w:bottom w:val="single" w:sz="8" w:space="0" w:color="4F81BD"/>
              <w:right w:val="single" w:sz="8" w:space="0" w:color="4F81BD"/>
            </w:tcBorders>
            <w:shd w:val="clear" w:color="auto" w:fill="B8CCE4"/>
            <w:vAlign w:val="center"/>
          </w:tcPr>
          <w:p w14:paraId="2F780613" w14:textId="77777777" w:rsidR="00261EC6" w:rsidRDefault="00261EC6">
            <w:pPr>
              <w:spacing w:line="240" w:lineRule="auto"/>
              <w:jc w:val="center"/>
              <w:rPr>
                <w:rFonts w:asciiTheme="minorEastAsia" w:hAnsiTheme="minorEastAsia" w:cstheme="minorEastAsia"/>
                <w:kern w:val="0"/>
                <w:sz w:val="21"/>
                <w:szCs w:val="21"/>
              </w:rPr>
            </w:pPr>
          </w:p>
        </w:tc>
        <w:tc>
          <w:tcPr>
            <w:tcW w:w="6951"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2F780614" w14:textId="77777777" w:rsidR="00261EC6" w:rsidRDefault="00FF4B42">
            <w:pPr>
              <w:spacing w:line="240" w:lineRule="auto"/>
              <w:rPr>
                <w:rFonts w:asciiTheme="minorEastAsia" w:hAnsiTheme="minorEastAsia" w:cstheme="minorEastAsia"/>
                <w:kern w:val="0"/>
                <w:sz w:val="21"/>
                <w:szCs w:val="21"/>
              </w:rPr>
            </w:pPr>
            <w:r>
              <w:rPr>
                <w:rFonts w:asciiTheme="minorEastAsia" w:hAnsiTheme="minorEastAsia" w:cstheme="minorEastAsia" w:hint="eastAsia"/>
                <w:kern w:val="0"/>
                <w:sz w:val="21"/>
                <w:szCs w:val="21"/>
              </w:rPr>
              <w:t>e）管道两侧各200m内有湿地、森林、河口等国家自然保护地区</w:t>
            </w:r>
          </w:p>
        </w:tc>
        <w:tc>
          <w:tcPr>
            <w:tcW w:w="895"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2F780615" w14:textId="77777777" w:rsidR="00261EC6" w:rsidRDefault="00FF4B42">
            <w:pPr>
              <w:spacing w:line="240" w:lineRule="auto"/>
              <w:jc w:val="center"/>
              <w:rPr>
                <w:rFonts w:asciiTheme="minorEastAsia" w:hAnsiTheme="minorEastAsia" w:cstheme="minorEastAsia"/>
                <w:kern w:val="0"/>
                <w:sz w:val="21"/>
                <w:szCs w:val="21"/>
              </w:rPr>
            </w:pPr>
            <w:r>
              <w:rPr>
                <w:rFonts w:asciiTheme="minorEastAsia" w:hAnsiTheme="minorEastAsia" w:cstheme="minorEastAsia" w:hint="eastAsia"/>
                <w:kern w:val="0"/>
                <w:sz w:val="21"/>
                <w:szCs w:val="21"/>
              </w:rPr>
              <w:t>Ⅱ级</w:t>
            </w:r>
          </w:p>
        </w:tc>
      </w:tr>
      <w:tr w:rsidR="00261EC6" w14:paraId="2F78061A" w14:textId="77777777">
        <w:trPr>
          <w:trHeight w:val="398"/>
        </w:trPr>
        <w:tc>
          <w:tcPr>
            <w:tcW w:w="676"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14:paraId="2F780617" w14:textId="77777777" w:rsidR="00261EC6" w:rsidRDefault="00261EC6">
            <w:pPr>
              <w:spacing w:line="240" w:lineRule="auto"/>
              <w:jc w:val="center"/>
              <w:rPr>
                <w:rFonts w:asciiTheme="minorEastAsia" w:hAnsiTheme="minorEastAsia" w:cstheme="minorEastAsia"/>
                <w:kern w:val="0"/>
                <w:sz w:val="21"/>
                <w:szCs w:val="21"/>
              </w:rPr>
            </w:pPr>
          </w:p>
        </w:tc>
        <w:tc>
          <w:tcPr>
            <w:tcW w:w="6951"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2F780618" w14:textId="77777777" w:rsidR="00261EC6" w:rsidRDefault="00FF4B42">
            <w:pPr>
              <w:spacing w:line="240" w:lineRule="auto"/>
              <w:rPr>
                <w:rFonts w:asciiTheme="minorEastAsia" w:hAnsiTheme="minorEastAsia" w:cstheme="minorEastAsia"/>
                <w:kern w:val="0"/>
                <w:sz w:val="21"/>
                <w:szCs w:val="21"/>
              </w:rPr>
            </w:pPr>
            <w:r>
              <w:rPr>
                <w:rFonts w:asciiTheme="minorEastAsia" w:hAnsiTheme="minorEastAsia" w:cstheme="minorEastAsia" w:hint="eastAsia"/>
                <w:kern w:val="0"/>
                <w:sz w:val="21"/>
                <w:szCs w:val="21"/>
              </w:rPr>
              <w:t>f）管道两侧各200m内有水源、河流、大中型水库</w:t>
            </w:r>
          </w:p>
        </w:tc>
        <w:tc>
          <w:tcPr>
            <w:tcW w:w="895"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2F780619" w14:textId="77777777" w:rsidR="00261EC6" w:rsidRDefault="00FF4B42">
            <w:pPr>
              <w:spacing w:line="240" w:lineRule="auto"/>
              <w:jc w:val="center"/>
              <w:rPr>
                <w:rFonts w:asciiTheme="minorEastAsia" w:hAnsiTheme="minorEastAsia" w:cstheme="minorEastAsia"/>
                <w:kern w:val="0"/>
                <w:sz w:val="21"/>
                <w:szCs w:val="21"/>
              </w:rPr>
            </w:pPr>
            <w:r>
              <w:rPr>
                <w:rFonts w:asciiTheme="minorEastAsia" w:hAnsiTheme="minorEastAsia" w:cstheme="minorEastAsia" w:hint="eastAsia"/>
                <w:kern w:val="0"/>
                <w:sz w:val="21"/>
                <w:szCs w:val="21"/>
              </w:rPr>
              <w:t>Ⅲ级</w:t>
            </w:r>
          </w:p>
        </w:tc>
      </w:tr>
    </w:tbl>
    <w:p w14:paraId="2F78061B" w14:textId="77777777" w:rsidR="00261EC6" w:rsidRDefault="00FF4B42">
      <w:pPr>
        <w:pStyle w:val="2"/>
        <w:spacing w:before="156" w:after="156"/>
        <w:rPr>
          <w:rFonts w:cs="Times New Roman"/>
        </w:rPr>
      </w:pPr>
      <w:bookmarkStart w:id="26" w:name="_Toc16608630"/>
      <w:r>
        <w:rPr>
          <w:rFonts w:cs="Times New Roman"/>
        </w:rPr>
        <w:t>3.4</w:t>
      </w:r>
      <w:r>
        <w:rPr>
          <w:rFonts w:cs="Times New Roman"/>
        </w:rPr>
        <w:t>高后果区事故案例</w:t>
      </w:r>
      <w:bookmarkEnd w:id="26"/>
    </w:p>
    <w:p w14:paraId="2F78061C" w14:textId="77777777" w:rsidR="00261EC6" w:rsidRDefault="00FF4B42">
      <w:pPr>
        <w:ind w:firstLineChars="200" w:firstLine="480"/>
        <w:rPr>
          <w:rFonts w:cs="Times New Roman"/>
          <w:szCs w:val="24"/>
        </w:rPr>
      </w:pPr>
      <w:r>
        <w:rPr>
          <w:rFonts w:cs="Times New Roman"/>
          <w:szCs w:val="24"/>
        </w:rPr>
        <w:t>2010</w:t>
      </w:r>
      <w:r>
        <w:rPr>
          <w:rFonts w:cs="Times New Roman"/>
          <w:szCs w:val="24"/>
        </w:rPr>
        <w:t>年</w:t>
      </w:r>
      <w:r>
        <w:rPr>
          <w:rFonts w:cs="Times New Roman"/>
          <w:szCs w:val="24"/>
        </w:rPr>
        <w:t>9</w:t>
      </w:r>
      <w:r>
        <w:rPr>
          <w:rFonts w:cs="Times New Roman"/>
          <w:szCs w:val="24"/>
        </w:rPr>
        <w:t>月</w:t>
      </w:r>
      <w:r>
        <w:rPr>
          <w:rFonts w:cs="Times New Roman"/>
          <w:szCs w:val="24"/>
        </w:rPr>
        <w:t>9</w:t>
      </w:r>
      <w:r>
        <w:rPr>
          <w:rFonts w:cs="Times New Roman"/>
          <w:szCs w:val="24"/>
        </w:rPr>
        <w:t>日，太平洋燃气电力公司所辖</w:t>
      </w:r>
      <w:r>
        <w:rPr>
          <w:rFonts w:cs="Times New Roman"/>
          <w:szCs w:val="24"/>
        </w:rPr>
        <w:t>1956</w:t>
      </w:r>
      <w:r>
        <w:rPr>
          <w:rFonts w:cs="Times New Roman"/>
          <w:szCs w:val="24"/>
        </w:rPr>
        <w:t>年建设的</w:t>
      </w:r>
      <w:r>
        <w:rPr>
          <w:rFonts w:cs="Times New Roman"/>
          <w:szCs w:val="24"/>
        </w:rPr>
        <w:t>132</w:t>
      </w:r>
      <w:r>
        <w:rPr>
          <w:rFonts w:cs="Times New Roman"/>
          <w:szCs w:val="24"/>
        </w:rPr>
        <w:t>号管线（管径</w:t>
      </w:r>
      <w:r>
        <w:rPr>
          <w:rFonts w:cs="Times New Roman"/>
          <w:szCs w:val="24"/>
        </w:rPr>
        <w:t>762mm</w:t>
      </w:r>
      <w:r>
        <w:rPr>
          <w:rFonts w:cs="Times New Roman"/>
          <w:szCs w:val="24"/>
        </w:rPr>
        <w:t>，运行压力</w:t>
      </w:r>
      <w:r>
        <w:rPr>
          <w:rFonts w:cs="Times New Roman"/>
          <w:szCs w:val="24"/>
        </w:rPr>
        <w:t>2.66MPa</w:t>
      </w:r>
      <w:r>
        <w:rPr>
          <w:rFonts w:cs="Times New Roman"/>
          <w:szCs w:val="24"/>
        </w:rPr>
        <w:t>小于</w:t>
      </w:r>
      <w:r>
        <w:rPr>
          <w:rFonts w:cs="Times New Roman"/>
          <w:szCs w:val="24"/>
        </w:rPr>
        <w:t>MAOP</w:t>
      </w:r>
      <w:r>
        <w:rPr>
          <w:rFonts w:cs="Times New Roman"/>
          <w:szCs w:val="24"/>
        </w:rPr>
        <w:t>值为</w:t>
      </w:r>
      <w:r>
        <w:rPr>
          <w:rFonts w:cs="Times New Roman"/>
          <w:szCs w:val="24"/>
        </w:rPr>
        <w:t>2.76MPa</w:t>
      </w:r>
      <w:r>
        <w:rPr>
          <w:rFonts w:cs="Times New Roman"/>
          <w:szCs w:val="24"/>
        </w:rPr>
        <w:t>，材质</w:t>
      </w:r>
      <w:r>
        <w:rPr>
          <w:rFonts w:cs="Times New Roman"/>
          <w:szCs w:val="24"/>
        </w:rPr>
        <w:t>X42</w:t>
      </w:r>
      <w:r>
        <w:rPr>
          <w:rFonts w:cs="Times New Roman"/>
          <w:szCs w:val="24"/>
        </w:rPr>
        <w:t>，壁厚</w:t>
      </w:r>
      <w:r>
        <w:rPr>
          <w:rFonts w:cs="Times New Roman"/>
          <w:szCs w:val="24"/>
        </w:rPr>
        <w:t>9.5mm</w:t>
      </w:r>
      <w:r>
        <w:rPr>
          <w:rFonts w:cs="Times New Roman"/>
          <w:szCs w:val="24"/>
        </w:rPr>
        <w:t>）因焊接不合规范产生的施工缺陷导致承压能力下降，在加利福尼亚州圣布鲁诺的一处居民区发生破裂爆炸事故。爆炸发生在伯爵大街和格伦维尤快车道交叉口，属于人口密集区类型的管道高后果区。</w:t>
      </w:r>
    </w:p>
    <w:p w14:paraId="2F78061D" w14:textId="77777777" w:rsidR="00261EC6" w:rsidRDefault="00FF4B42">
      <w:pPr>
        <w:ind w:firstLineChars="200" w:firstLine="480"/>
        <w:rPr>
          <w:rFonts w:cs="Times New Roman"/>
          <w:szCs w:val="24"/>
        </w:rPr>
      </w:pPr>
      <w:r>
        <w:rPr>
          <w:rFonts w:cs="Times New Roman"/>
          <w:szCs w:val="24"/>
        </w:rPr>
        <w:t>泄漏的天然气遇明火被点燃，发生爆炸，随后引发了严重火灾，事故共造成</w:t>
      </w:r>
      <w:r>
        <w:rPr>
          <w:rFonts w:cs="Times New Roman"/>
          <w:szCs w:val="24"/>
        </w:rPr>
        <w:t>8</w:t>
      </w:r>
      <w:r>
        <w:rPr>
          <w:rFonts w:cs="Times New Roman"/>
          <w:szCs w:val="24"/>
        </w:rPr>
        <w:t>名居民死亡，</w:t>
      </w:r>
      <w:r>
        <w:rPr>
          <w:rFonts w:cs="Times New Roman"/>
          <w:szCs w:val="24"/>
        </w:rPr>
        <w:t>6</w:t>
      </w:r>
      <w:r>
        <w:rPr>
          <w:rFonts w:cs="Times New Roman"/>
          <w:szCs w:val="24"/>
        </w:rPr>
        <w:t>人重伤，</w:t>
      </w:r>
      <w:r>
        <w:rPr>
          <w:rFonts w:cs="Times New Roman"/>
          <w:szCs w:val="24"/>
        </w:rPr>
        <w:t>52</w:t>
      </w:r>
      <w:r>
        <w:rPr>
          <w:rFonts w:cs="Times New Roman"/>
          <w:szCs w:val="24"/>
        </w:rPr>
        <w:t>人轻伤。事故形成了一个长约</w:t>
      </w:r>
      <w:r>
        <w:rPr>
          <w:rFonts w:cs="Times New Roman"/>
          <w:szCs w:val="24"/>
        </w:rPr>
        <w:t>22m</w:t>
      </w:r>
      <w:r>
        <w:rPr>
          <w:rFonts w:cs="Times New Roman"/>
          <w:szCs w:val="24"/>
        </w:rPr>
        <w:t>，宽约</w:t>
      </w:r>
      <w:r>
        <w:rPr>
          <w:rFonts w:cs="Times New Roman"/>
          <w:szCs w:val="24"/>
        </w:rPr>
        <w:t>8m</w:t>
      </w:r>
      <w:r>
        <w:rPr>
          <w:rFonts w:cs="Times New Roman"/>
          <w:szCs w:val="24"/>
        </w:rPr>
        <w:t>的爆炸坑，一段长约</w:t>
      </w:r>
      <w:r>
        <w:rPr>
          <w:rFonts w:cs="Times New Roman"/>
          <w:szCs w:val="24"/>
        </w:rPr>
        <w:t>8.5m</w:t>
      </w:r>
      <w:r>
        <w:rPr>
          <w:rFonts w:cs="Times New Roman"/>
          <w:szCs w:val="24"/>
        </w:rPr>
        <w:t>，重约</w:t>
      </w:r>
      <w:r>
        <w:rPr>
          <w:rFonts w:cs="Times New Roman"/>
          <w:szCs w:val="24"/>
        </w:rPr>
        <w:t>1.36t</w:t>
      </w:r>
      <w:r>
        <w:rPr>
          <w:rFonts w:cs="Times New Roman"/>
          <w:szCs w:val="24"/>
        </w:rPr>
        <w:t>的破裂管道，被弹射至爆炸坑南的约</w:t>
      </w:r>
      <w:r>
        <w:rPr>
          <w:rFonts w:cs="Times New Roman"/>
          <w:szCs w:val="24"/>
        </w:rPr>
        <w:t>30m</w:t>
      </w:r>
      <w:r>
        <w:rPr>
          <w:rFonts w:cs="Times New Roman"/>
          <w:szCs w:val="24"/>
        </w:rPr>
        <w:t>处。火灾影响区域以管道爆炸点为中心半径达</w:t>
      </w:r>
      <w:r>
        <w:rPr>
          <w:rFonts w:cs="Times New Roman"/>
          <w:szCs w:val="24"/>
        </w:rPr>
        <w:t>182m</w:t>
      </w:r>
      <w:r>
        <w:rPr>
          <w:rFonts w:cs="Times New Roman"/>
          <w:szCs w:val="24"/>
        </w:rPr>
        <w:t>，火灾影响到了</w:t>
      </w:r>
      <w:r>
        <w:rPr>
          <w:rFonts w:cs="Times New Roman"/>
          <w:szCs w:val="24"/>
        </w:rPr>
        <w:t>108</w:t>
      </w:r>
      <w:r>
        <w:rPr>
          <w:rFonts w:cs="Times New Roman"/>
          <w:szCs w:val="24"/>
        </w:rPr>
        <w:t>所房屋，其中</w:t>
      </w:r>
      <w:r>
        <w:rPr>
          <w:rFonts w:cs="Times New Roman"/>
          <w:szCs w:val="24"/>
        </w:rPr>
        <w:t>38</w:t>
      </w:r>
      <w:r>
        <w:rPr>
          <w:rFonts w:cs="Times New Roman"/>
          <w:szCs w:val="24"/>
        </w:rPr>
        <w:t>座被摧毁，</w:t>
      </w:r>
      <w:r>
        <w:rPr>
          <w:rFonts w:cs="Times New Roman"/>
          <w:szCs w:val="24"/>
        </w:rPr>
        <w:t>17</w:t>
      </w:r>
      <w:r>
        <w:rPr>
          <w:rFonts w:cs="Times New Roman"/>
          <w:szCs w:val="24"/>
        </w:rPr>
        <w:t>座严重损坏，</w:t>
      </w:r>
      <w:r>
        <w:rPr>
          <w:rFonts w:cs="Times New Roman"/>
          <w:szCs w:val="24"/>
        </w:rPr>
        <w:t>53</w:t>
      </w:r>
      <w:r>
        <w:rPr>
          <w:rFonts w:cs="Times New Roman"/>
          <w:szCs w:val="24"/>
        </w:rPr>
        <w:t>座轻微损坏。此外，</w:t>
      </w:r>
      <w:r>
        <w:rPr>
          <w:rFonts w:cs="Times New Roman"/>
          <w:szCs w:val="24"/>
        </w:rPr>
        <w:t>74</w:t>
      </w:r>
      <w:r>
        <w:rPr>
          <w:rFonts w:cs="Times New Roman"/>
          <w:szCs w:val="24"/>
        </w:rPr>
        <w:t>辆汽车被损坏或烧毁，被烧毁的区域里还包括一个公园林地和一个游乐场。根据</w:t>
      </w:r>
      <w:r>
        <w:rPr>
          <w:rFonts w:cs="Times New Roman"/>
          <w:szCs w:val="24"/>
        </w:rPr>
        <w:t>PG&amp;E</w:t>
      </w:r>
      <w:r>
        <w:rPr>
          <w:rFonts w:cs="Times New Roman"/>
          <w:szCs w:val="24"/>
        </w:rPr>
        <w:t>报告，管道修理费用约为</w:t>
      </w:r>
      <w:r>
        <w:rPr>
          <w:rFonts w:cs="Times New Roman"/>
          <w:szCs w:val="24"/>
        </w:rPr>
        <w:t>1350</w:t>
      </w:r>
      <w:r>
        <w:rPr>
          <w:rFonts w:cs="Times New Roman"/>
          <w:szCs w:val="24"/>
        </w:rPr>
        <w:t>万美元，泄漏天然气价值约</w:t>
      </w:r>
      <w:r>
        <w:rPr>
          <w:rFonts w:cs="Times New Roman"/>
          <w:szCs w:val="24"/>
        </w:rPr>
        <w:t>26.3</w:t>
      </w:r>
      <w:r>
        <w:rPr>
          <w:rFonts w:cs="Times New Roman"/>
          <w:szCs w:val="24"/>
        </w:rPr>
        <w:t>万美元。</w:t>
      </w:r>
    </w:p>
    <w:p w14:paraId="2F78061E" w14:textId="77777777" w:rsidR="00261EC6" w:rsidRDefault="00FF4B42">
      <w:pPr>
        <w:numPr>
          <w:ilvl w:val="0"/>
          <w:numId w:val="1"/>
        </w:numPr>
        <w:rPr>
          <w:rFonts w:cs="Times New Roman"/>
        </w:rPr>
      </w:pPr>
      <w:r>
        <w:rPr>
          <w:rFonts w:cs="Times New Roman"/>
        </w:rPr>
        <w:br w:type="page"/>
      </w:r>
    </w:p>
    <w:p w14:paraId="2F78087E" w14:textId="21D50C24" w:rsidR="00261EC6" w:rsidRDefault="00F05D55">
      <w:pPr>
        <w:pStyle w:val="1"/>
        <w:rPr>
          <w:rFonts w:cs="Times New Roman"/>
        </w:rPr>
      </w:pPr>
      <w:bookmarkStart w:id="27" w:name="_Toc16608631"/>
      <w:r>
        <w:rPr>
          <w:rFonts w:cs="Times New Roman" w:hint="eastAsia"/>
        </w:rPr>
        <w:lastRenderedPageBreak/>
        <w:t>四</w:t>
      </w:r>
      <w:r>
        <w:rPr>
          <w:rFonts w:cs="Times New Roman"/>
        </w:rPr>
        <w:t>、高后果区识别结果</w:t>
      </w:r>
      <w:bookmarkEnd w:id="27"/>
    </w:p>
    <w:p w14:paraId="2F780881" w14:textId="78E0DA88" w:rsidR="00261EC6" w:rsidRDefault="00E56CD3" w:rsidP="00687166">
      <w:pPr>
        <w:ind w:firstLineChars="200" w:firstLine="480"/>
        <w:rPr>
          <w:rFonts w:cs="Times New Roman"/>
        </w:rPr>
      </w:pPr>
      <w:bookmarkStart w:id="28" w:name="_GoBack"/>
      <w:bookmarkEnd w:id="28"/>
      <w:r>
        <w:rPr>
          <w:rFonts w:cs="Times New Roman"/>
        </w:rPr>
        <w:t>{{</w:t>
      </w:r>
      <w:r>
        <w:rPr>
          <w:rFonts w:cs="Times New Roman" w:hint="eastAsia"/>
        </w:rPr>
        <w:t>result</w:t>
      </w:r>
      <w:r>
        <w:rPr>
          <w:rFonts w:cs="Times New Roman"/>
        </w:rPr>
        <w:t>Desc}}</w:t>
      </w:r>
      <w:r w:rsidR="00FF4B42">
        <w:rPr>
          <w:rFonts w:cs="Times New Roman"/>
        </w:rPr>
        <w:br w:type="page"/>
      </w:r>
    </w:p>
    <w:p w14:paraId="505EC657" w14:textId="61A5652D" w:rsidR="00CC77EC" w:rsidRPr="008D4C66" w:rsidRDefault="00143711" w:rsidP="008D4C66">
      <w:pPr>
        <w:pStyle w:val="2"/>
        <w:spacing w:before="156" w:after="156"/>
        <w:ind w:firstLine="240"/>
        <w:rPr>
          <w:rFonts w:cs="Times New Roman"/>
        </w:rPr>
      </w:pPr>
      <w:bookmarkStart w:id="29" w:name="_Toc16608632"/>
      <w:r>
        <w:rPr>
          <w:rFonts w:cs="Times New Roman"/>
        </w:rPr>
        <w:lastRenderedPageBreak/>
        <w:t>4</w:t>
      </w:r>
      <w:r w:rsidR="00FF4B42">
        <w:rPr>
          <w:rFonts w:cs="Times New Roman"/>
        </w:rPr>
        <w:t xml:space="preserve">.1 </w:t>
      </w:r>
      <w:r w:rsidR="0014476F">
        <w:rPr>
          <w:rFonts w:cs="Times New Roman" w:hint="eastAsia"/>
        </w:rPr>
        <w:t>识别结果列表</w:t>
      </w:r>
      <w:bookmarkEnd w:id="29"/>
    </w:p>
    <w:p w14:paraId="07231502" w14:textId="080385D9" w:rsidR="002D60C3" w:rsidRDefault="002D60C3">
      <w:pPr>
        <w:widowControl/>
        <w:spacing w:line="240" w:lineRule="auto"/>
        <w:jc w:val="left"/>
        <w:rPr>
          <w:rFonts w:eastAsiaTheme="majorEastAsia" w:cs="Times New Roman"/>
          <w:b/>
          <w:bCs/>
          <w:szCs w:val="32"/>
        </w:rPr>
      </w:pPr>
      <w:r>
        <w:rPr>
          <w:rFonts w:cs="Times New Roman"/>
          <w:spacing w:val="-3"/>
          <w:sz w:val="26"/>
          <w:szCs w:val="26"/>
          <w:shd w:val="clear" w:color="auto" w:fill="FFFEF7"/>
        </w:rPr>
        <w:t>{{+segment}}</w:t>
      </w:r>
    </w:p>
    <w:p w14:paraId="2F7808B9" w14:textId="3FD9B26C" w:rsidR="00261EC6" w:rsidRDefault="008D1518">
      <w:pPr>
        <w:pStyle w:val="2"/>
        <w:spacing w:before="156" w:after="156"/>
        <w:rPr>
          <w:rFonts w:cs="Times New Roman"/>
        </w:rPr>
      </w:pPr>
      <w:bookmarkStart w:id="30" w:name="_Toc16608633"/>
      <w:r>
        <w:rPr>
          <w:rFonts w:cs="Times New Roman"/>
        </w:rPr>
        <w:t>4.2</w:t>
      </w:r>
      <w:r w:rsidR="00FF4B42">
        <w:rPr>
          <w:rFonts w:cs="Times New Roman"/>
        </w:rPr>
        <w:t>应急预案：</w:t>
      </w:r>
      <w:bookmarkStart w:id="31" w:name="_Toc513565672"/>
      <w:bookmarkStart w:id="32" w:name="_Toc513565767"/>
      <w:bookmarkEnd w:id="30"/>
    </w:p>
    <w:bookmarkEnd w:id="31"/>
    <w:bookmarkEnd w:id="32"/>
    <w:p w14:paraId="2F7808C4" w14:textId="001DC8CE" w:rsidR="00261EC6" w:rsidRDefault="00BE7442" w:rsidP="00BE7442">
      <w:pPr>
        <w:ind w:firstLine="420"/>
        <w:rPr>
          <w:rFonts w:cs="Times New Roman"/>
          <w:b/>
          <w:sz w:val="21"/>
          <w:szCs w:val="21"/>
        </w:rPr>
      </w:pPr>
      <w:r>
        <w:rPr>
          <w:rFonts w:cs="Times New Roman" w:hint="eastAsia"/>
          <w:b/>
          <w:sz w:val="21"/>
          <w:szCs w:val="21"/>
        </w:rPr>
        <w:t>1</w:t>
      </w:r>
      <w:r w:rsidR="00FF4B42">
        <w:rPr>
          <w:rFonts w:cs="Times New Roman"/>
          <w:b/>
          <w:sz w:val="21"/>
          <w:szCs w:val="21"/>
        </w:rPr>
        <w:t xml:space="preserve">. </w:t>
      </w:r>
      <w:r w:rsidR="00FF4B42">
        <w:rPr>
          <w:rFonts w:cs="Times New Roman" w:hint="eastAsia"/>
          <w:b/>
          <w:sz w:val="21"/>
          <w:szCs w:val="21"/>
        </w:rPr>
        <w:t>事故风险分析</w:t>
      </w:r>
    </w:p>
    <w:p w14:paraId="2F7808C5" w14:textId="77777777" w:rsidR="00261EC6" w:rsidRDefault="00FF4B42">
      <w:pPr>
        <w:numPr>
          <w:ilvl w:val="0"/>
          <w:numId w:val="10"/>
        </w:numPr>
        <w:ind w:firstLineChars="200" w:firstLine="420"/>
        <w:rPr>
          <w:rFonts w:eastAsiaTheme="majorEastAsia" w:cs="Times New Roman"/>
          <w:sz w:val="21"/>
          <w:szCs w:val="21"/>
        </w:rPr>
      </w:pPr>
      <w:r>
        <w:rPr>
          <w:rFonts w:eastAsiaTheme="majorEastAsia" w:cs="Times New Roman" w:hint="eastAsia"/>
          <w:sz w:val="21"/>
          <w:szCs w:val="21"/>
        </w:rPr>
        <w:t>事故发生时，事故发现第一人应立即拨打总控室</w:t>
      </w:r>
      <w:r>
        <w:rPr>
          <w:rFonts w:eastAsiaTheme="majorEastAsia" w:cs="Times New Roman" w:hint="eastAsia"/>
          <w:sz w:val="21"/>
          <w:szCs w:val="21"/>
        </w:rPr>
        <w:t>24</w:t>
      </w:r>
      <w:r>
        <w:rPr>
          <w:rFonts w:eastAsiaTheme="majorEastAsia" w:cs="Times New Roman" w:hint="eastAsia"/>
          <w:sz w:val="21"/>
          <w:szCs w:val="21"/>
        </w:rPr>
        <w:t>小时值班电话</w:t>
      </w:r>
      <w:r>
        <w:rPr>
          <w:rFonts w:eastAsiaTheme="majorEastAsia" w:cs="Times New Roman" w:hint="eastAsia"/>
          <w:sz w:val="21"/>
          <w:szCs w:val="21"/>
        </w:rPr>
        <w:t>022-24902259</w:t>
      </w:r>
      <w:r>
        <w:rPr>
          <w:rFonts w:eastAsiaTheme="majorEastAsia" w:cs="Times New Roman" w:hint="eastAsia"/>
          <w:sz w:val="21"/>
          <w:szCs w:val="21"/>
        </w:rPr>
        <w:t>，并</w:t>
      </w:r>
      <w:r>
        <w:rPr>
          <w:rFonts w:eastAsiaTheme="majorEastAsia" w:cs="Times New Roman"/>
          <w:sz w:val="21"/>
          <w:szCs w:val="21"/>
        </w:rPr>
        <w:t>将情况及时</w:t>
      </w:r>
      <w:r>
        <w:rPr>
          <w:rFonts w:eastAsiaTheme="majorEastAsia" w:cs="Times New Roman" w:hint="eastAsia"/>
          <w:sz w:val="21"/>
          <w:szCs w:val="21"/>
        </w:rPr>
        <w:t>通知</w:t>
      </w:r>
      <w:r>
        <w:rPr>
          <w:rFonts w:eastAsiaTheme="majorEastAsia" w:cs="Times New Roman"/>
          <w:sz w:val="21"/>
          <w:szCs w:val="21"/>
        </w:rPr>
        <w:t>巡线队长，巡线队长再将情况向</w:t>
      </w:r>
      <w:r>
        <w:rPr>
          <w:rFonts w:eastAsiaTheme="majorEastAsia" w:cs="Times New Roman" w:hint="eastAsia"/>
          <w:sz w:val="21"/>
          <w:szCs w:val="21"/>
        </w:rPr>
        <w:t>值班领导</w:t>
      </w:r>
      <w:r>
        <w:rPr>
          <w:rFonts w:eastAsiaTheme="majorEastAsia" w:cs="Times New Roman"/>
          <w:sz w:val="21"/>
          <w:szCs w:val="21"/>
        </w:rPr>
        <w:t>报告的同时，做好先期应急处置工作；</w:t>
      </w:r>
    </w:p>
    <w:p w14:paraId="2F7808C6" w14:textId="77777777" w:rsidR="00261EC6" w:rsidRDefault="00FF4B42">
      <w:pPr>
        <w:numPr>
          <w:ilvl w:val="0"/>
          <w:numId w:val="10"/>
        </w:numPr>
        <w:ind w:firstLineChars="200" w:firstLine="420"/>
        <w:rPr>
          <w:rFonts w:eastAsiaTheme="majorEastAsia" w:cs="Times New Roman"/>
          <w:sz w:val="21"/>
          <w:szCs w:val="21"/>
        </w:rPr>
      </w:pPr>
      <w:r>
        <w:rPr>
          <w:rFonts w:eastAsiaTheme="majorEastAsia" w:cs="Times New Roman" w:hint="eastAsia"/>
          <w:sz w:val="21"/>
          <w:szCs w:val="21"/>
        </w:rPr>
        <w:t>值班领导接到信息报告后，迅速报告公司应急小组，</w:t>
      </w:r>
      <w:r>
        <w:rPr>
          <w:rFonts w:eastAsiaTheme="majorEastAsia" w:cs="Times New Roman"/>
          <w:sz w:val="21"/>
          <w:szCs w:val="21"/>
        </w:rPr>
        <w:t>应急小组成员接受指令，赶赴现场，启动应急措施，及时控制住当前局势，防止继续恶化；</w:t>
      </w:r>
    </w:p>
    <w:p w14:paraId="2F7808C7" w14:textId="77777777" w:rsidR="00261EC6" w:rsidRDefault="00FF4B42">
      <w:pPr>
        <w:numPr>
          <w:ilvl w:val="0"/>
          <w:numId w:val="10"/>
        </w:numPr>
        <w:ind w:firstLineChars="200" w:firstLine="420"/>
        <w:rPr>
          <w:rFonts w:eastAsiaTheme="majorEastAsia" w:cs="Times New Roman"/>
          <w:sz w:val="21"/>
          <w:szCs w:val="21"/>
        </w:rPr>
      </w:pPr>
      <w:r>
        <w:rPr>
          <w:rFonts w:eastAsiaTheme="majorEastAsia" w:cs="Times New Roman" w:hint="eastAsia"/>
          <w:sz w:val="21"/>
          <w:szCs w:val="21"/>
        </w:rPr>
        <w:t>当</w:t>
      </w:r>
      <w:r>
        <w:rPr>
          <w:rFonts w:eastAsiaTheme="majorEastAsia" w:cs="Times New Roman"/>
          <w:sz w:val="21"/>
          <w:szCs w:val="21"/>
        </w:rPr>
        <w:t>事件进一步扩大时，由站长</w:t>
      </w:r>
      <w:r>
        <w:rPr>
          <w:rFonts w:eastAsiaTheme="majorEastAsia" w:cs="Times New Roman" w:hint="eastAsia"/>
          <w:sz w:val="21"/>
          <w:szCs w:val="21"/>
        </w:rPr>
        <w:t>及时</w:t>
      </w:r>
      <w:r>
        <w:rPr>
          <w:rFonts w:eastAsiaTheme="majorEastAsia" w:cs="Times New Roman"/>
          <w:sz w:val="21"/>
          <w:szCs w:val="21"/>
        </w:rPr>
        <w:t>汇报给公司应急抢险领导小组，由公司应急抢险领导小组决定启动公司相应的应急预案。</w:t>
      </w:r>
    </w:p>
    <w:p w14:paraId="2F7808C8" w14:textId="006C73DC" w:rsidR="00261EC6" w:rsidRPr="00E105CE" w:rsidRDefault="00242B09" w:rsidP="00242B09">
      <w:pPr>
        <w:pStyle w:val="ac"/>
        <w:ind w:left="420" w:firstLineChars="0" w:firstLine="0"/>
        <w:rPr>
          <w:rFonts w:cs="Times New Roman"/>
          <w:b/>
          <w:sz w:val="21"/>
          <w:szCs w:val="21"/>
        </w:rPr>
      </w:pPr>
      <w:r>
        <w:rPr>
          <w:rFonts w:cs="Times New Roman"/>
          <w:b/>
          <w:sz w:val="21"/>
          <w:szCs w:val="21"/>
        </w:rPr>
        <w:t>2.</w:t>
      </w:r>
      <w:r w:rsidR="00FF4B42" w:rsidRPr="00E105CE">
        <w:rPr>
          <w:rFonts w:cs="Times New Roman"/>
          <w:b/>
          <w:sz w:val="21"/>
          <w:szCs w:val="21"/>
        </w:rPr>
        <w:t>现场应急处置措施</w:t>
      </w:r>
    </w:p>
    <w:p w14:paraId="2F7808C9" w14:textId="77777777" w:rsidR="00261EC6" w:rsidRDefault="00FF4B42">
      <w:pPr>
        <w:numPr>
          <w:ilvl w:val="0"/>
          <w:numId w:val="11"/>
        </w:numPr>
        <w:ind w:firstLineChars="200" w:firstLine="420"/>
        <w:rPr>
          <w:rFonts w:asciiTheme="majorEastAsia" w:eastAsiaTheme="majorEastAsia" w:hAnsiTheme="majorEastAsia"/>
          <w:sz w:val="21"/>
          <w:szCs w:val="21"/>
        </w:rPr>
      </w:pPr>
      <w:r>
        <w:rPr>
          <w:rFonts w:asciiTheme="majorEastAsia" w:eastAsiaTheme="majorEastAsia" w:hAnsiTheme="majorEastAsia" w:hint="eastAsia"/>
          <w:sz w:val="21"/>
          <w:szCs w:val="21"/>
        </w:rPr>
        <w:t>发现施工情况，巡线人员要及时阻止占压并解决安全距离不足的隐患；对于不听劝阻、无法制止的情况，通知站内应急小组，由应急小组通知当地政府部门处理；</w:t>
      </w:r>
    </w:p>
    <w:p w14:paraId="2F7808CA" w14:textId="2D989FE0" w:rsidR="00261EC6" w:rsidRDefault="00FF4B42">
      <w:pPr>
        <w:numPr>
          <w:ilvl w:val="0"/>
          <w:numId w:val="11"/>
        </w:numPr>
        <w:ind w:firstLineChars="200" w:firstLine="420"/>
        <w:rPr>
          <w:rFonts w:asciiTheme="majorEastAsia" w:eastAsiaTheme="majorEastAsia" w:hAnsiTheme="majorEastAsia"/>
          <w:sz w:val="21"/>
          <w:szCs w:val="21"/>
        </w:rPr>
      </w:pPr>
      <w:r>
        <w:rPr>
          <w:rFonts w:asciiTheme="majorEastAsia" w:eastAsiaTheme="majorEastAsia" w:hAnsiTheme="majorEastAsia" w:hint="eastAsia"/>
          <w:sz w:val="21"/>
          <w:szCs w:val="21"/>
        </w:rPr>
        <w:t>对因第三方施工造成的泄漏，巡线基地人员要在第一时间赶到事发现场，立即组织对事发地点进行人员疏散，如有人员伤亡，立即通知 120 前往救护；</w:t>
      </w:r>
      <w:r w:rsidR="00A75058">
        <w:rPr>
          <w:rFonts w:asciiTheme="majorEastAsia" w:eastAsiaTheme="majorEastAsia" w:hAnsiTheme="majorEastAsia" w:hint="eastAsia"/>
          <w:sz w:val="21"/>
          <w:szCs w:val="21"/>
        </w:rPr>
        <w:t>站内应急小组应组织抢修组，按泄漏部位特点到事故现场进行现场处理</w:t>
      </w:r>
      <w:r>
        <w:rPr>
          <w:rFonts w:asciiTheme="majorEastAsia" w:eastAsiaTheme="majorEastAsia" w:hAnsiTheme="majorEastAsia" w:hint="eastAsia"/>
          <w:sz w:val="21"/>
          <w:szCs w:val="21"/>
        </w:rPr>
        <w:t>；</w:t>
      </w:r>
    </w:p>
    <w:p w14:paraId="2F7808CB" w14:textId="7D772433" w:rsidR="00261EC6" w:rsidRDefault="00FF4B42">
      <w:pPr>
        <w:numPr>
          <w:ilvl w:val="0"/>
          <w:numId w:val="11"/>
        </w:numPr>
        <w:ind w:firstLineChars="200" w:firstLine="420"/>
        <w:rPr>
          <w:rFonts w:asciiTheme="majorEastAsia" w:eastAsiaTheme="majorEastAsia" w:hAnsiTheme="majorEastAsia"/>
          <w:sz w:val="21"/>
          <w:szCs w:val="21"/>
        </w:rPr>
      </w:pPr>
      <w:r>
        <w:rPr>
          <w:rFonts w:asciiTheme="majorEastAsia" w:eastAsiaTheme="majorEastAsia" w:hAnsiTheme="majorEastAsia" w:hint="eastAsia"/>
          <w:sz w:val="21"/>
          <w:szCs w:val="21"/>
        </w:rPr>
        <w:t>若输油管线</w:t>
      </w:r>
      <w:r w:rsidR="006907AE">
        <w:rPr>
          <w:rFonts w:asciiTheme="majorEastAsia" w:eastAsiaTheme="majorEastAsia" w:hAnsiTheme="majorEastAsia" w:hint="eastAsia"/>
          <w:sz w:val="21"/>
          <w:szCs w:val="21"/>
        </w:rPr>
        <w:t>泄漏</w:t>
      </w:r>
      <w:r>
        <w:rPr>
          <w:rFonts w:asciiTheme="majorEastAsia" w:eastAsiaTheme="majorEastAsia" w:hAnsiTheme="majorEastAsia" w:hint="eastAsia"/>
          <w:sz w:val="21"/>
          <w:szCs w:val="21"/>
        </w:rPr>
        <w:t>影响正常交通，应及时向当地政府交通主管部门汇报，申请启动当地政府部门相应的应急预案；应急小组应立即切断泄漏源，对泄漏的管道进行封堵；组织清理道路及两侧泄露油品，全力恢复交通。</w:t>
      </w:r>
    </w:p>
    <w:p w14:paraId="2F7808CC" w14:textId="46A5D13F" w:rsidR="00261EC6" w:rsidRDefault="00FF4B42">
      <w:pPr>
        <w:numPr>
          <w:ilvl w:val="0"/>
          <w:numId w:val="11"/>
        </w:numPr>
        <w:ind w:firstLineChars="200" w:firstLine="420"/>
        <w:rPr>
          <w:rFonts w:asciiTheme="majorEastAsia" w:eastAsiaTheme="majorEastAsia" w:hAnsiTheme="majorEastAsia"/>
          <w:sz w:val="21"/>
          <w:szCs w:val="21"/>
        </w:rPr>
      </w:pPr>
      <w:r>
        <w:rPr>
          <w:rFonts w:asciiTheme="majorEastAsia" w:eastAsiaTheme="majorEastAsia" w:hAnsiTheme="majorEastAsia" w:hint="eastAsia"/>
          <w:sz w:val="21"/>
          <w:szCs w:val="21"/>
        </w:rPr>
        <w:t>若输油管线泄漏处位于河</w:t>
      </w:r>
      <w:r w:rsidR="004E335B">
        <w:rPr>
          <w:rFonts w:asciiTheme="majorEastAsia" w:eastAsiaTheme="majorEastAsia" w:hAnsiTheme="majorEastAsia" w:hint="eastAsia"/>
          <w:sz w:val="21"/>
          <w:szCs w:val="21"/>
        </w:rPr>
        <w:t>流附近</w:t>
      </w:r>
      <w:r>
        <w:rPr>
          <w:rFonts w:asciiTheme="majorEastAsia" w:eastAsiaTheme="majorEastAsia" w:hAnsiTheme="majorEastAsia" w:hint="eastAsia"/>
          <w:sz w:val="21"/>
          <w:szCs w:val="21"/>
        </w:rPr>
        <w:t>，应急小组应立即切断泄漏源，对泄漏的管道进行封堵；采取措施对污染物进行隔离，并及时组织清理，防止事件进一步扩大。</w:t>
      </w:r>
    </w:p>
    <w:p w14:paraId="2F7808CD" w14:textId="77777777" w:rsidR="00261EC6" w:rsidRDefault="00FF4B42">
      <w:pPr>
        <w:numPr>
          <w:ilvl w:val="0"/>
          <w:numId w:val="11"/>
        </w:numPr>
        <w:ind w:firstLineChars="200" w:firstLine="420"/>
        <w:rPr>
          <w:rFonts w:asciiTheme="majorEastAsia" w:eastAsiaTheme="majorEastAsia" w:hAnsiTheme="majorEastAsia"/>
          <w:sz w:val="21"/>
          <w:szCs w:val="21"/>
        </w:rPr>
      </w:pPr>
      <w:r>
        <w:rPr>
          <w:rFonts w:asciiTheme="majorEastAsia" w:eastAsiaTheme="majorEastAsia" w:hAnsiTheme="majorEastAsia" w:hint="eastAsia"/>
          <w:sz w:val="21"/>
          <w:szCs w:val="21"/>
        </w:rPr>
        <w:t>对现场实行警戒，断绝一切火种、火源；</w:t>
      </w:r>
    </w:p>
    <w:p w14:paraId="2F780FDB" w14:textId="09D9BD7F" w:rsidR="00261EC6" w:rsidRPr="006D2519" w:rsidRDefault="00FF4B42" w:rsidP="006D2519">
      <w:pPr>
        <w:numPr>
          <w:ilvl w:val="0"/>
          <w:numId w:val="11"/>
        </w:numPr>
        <w:ind w:firstLineChars="200" w:firstLine="420"/>
        <w:rPr>
          <w:rFonts w:asciiTheme="majorEastAsia" w:eastAsiaTheme="majorEastAsia" w:hAnsiTheme="majorEastAsia"/>
          <w:sz w:val="21"/>
          <w:szCs w:val="21"/>
        </w:rPr>
      </w:pPr>
      <w:r>
        <w:rPr>
          <w:rFonts w:asciiTheme="majorEastAsia" w:eastAsiaTheme="majorEastAsia" w:hAnsiTheme="majorEastAsia" w:hint="eastAsia"/>
          <w:sz w:val="21"/>
          <w:szCs w:val="21"/>
        </w:rPr>
        <w:t>通知当地派出所和公安部门，请他们派警力协助并维持现场秩序，将与抢修无关的人员清理到安全区域。</w:t>
      </w:r>
    </w:p>
    <w:p w14:paraId="2F780FDC" w14:textId="28BAE827" w:rsidR="00261EC6" w:rsidRDefault="00F05D55">
      <w:pPr>
        <w:pStyle w:val="1"/>
        <w:rPr>
          <w:rFonts w:cs="Times New Roman"/>
        </w:rPr>
      </w:pPr>
      <w:bookmarkStart w:id="33" w:name="_Toc18114"/>
      <w:bookmarkStart w:id="34" w:name="_Toc16608634"/>
      <w:r>
        <w:rPr>
          <w:rFonts w:cs="Times New Roman" w:hint="eastAsia"/>
        </w:rPr>
        <w:t>五</w:t>
      </w:r>
      <w:r>
        <w:rPr>
          <w:rFonts w:cs="Times New Roman"/>
        </w:rPr>
        <w:t>、结论与建议</w:t>
      </w:r>
      <w:bookmarkEnd w:id="33"/>
      <w:bookmarkEnd w:id="34"/>
    </w:p>
    <w:p w14:paraId="2F780FE0" w14:textId="3C3D3987" w:rsidR="00261EC6" w:rsidRDefault="00FF4B42">
      <w:pPr>
        <w:ind w:firstLineChars="200" w:firstLine="480"/>
        <w:rPr>
          <w:rFonts w:cs="Times New Roman"/>
          <w:szCs w:val="24"/>
        </w:rPr>
      </w:pPr>
      <w:r>
        <w:rPr>
          <w:rFonts w:cs="Times New Roman"/>
          <w:szCs w:val="24"/>
        </w:rPr>
        <w:t>结合识别结果提出如下建议：</w:t>
      </w:r>
    </w:p>
    <w:p w14:paraId="2F780FE1" w14:textId="77777777" w:rsidR="00261EC6" w:rsidRDefault="00FF4B42">
      <w:pPr>
        <w:numPr>
          <w:ilvl w:val="0"/>
          <w:numId w:val="49"/>
        </w:numPr>
        <w:ind w:firstLineChars="200" w:firstLine="480"/>
        <w:rPr>
          <w:rFonts w:cs="Times New Roman"/>
          <w:szCs w:val="24"/>
        </w:rPr>
      </w:pPr>
      <w:r>
        <w:rPr>
          <w:rFonts w:cs="Times New Roman"/>
          <w:szCs w:val="24"/>
        </w:rPr>
        <w:lastRenderedPageBreak/>
        <w:t>根据确定的高后果区分析每一区段的管理现状，包括检测历史、管道属性、周边环境、可能的扩散的区域，制定相应的完整性管理措施（检测、监测、完整性评价等），安排检测计划，高后果区内的管体缺陷，提升级别进行处置。必要时，通过量化风险评价分析其风险程度，确定是否需要进行改线规划。</w:t>
      </w:r>
    </w:p>
    <w:p w14:paraId="2F780FE2" w14:textId="77777777" w:rsidR="00261EC6" w:rsidRDefault="00FF4B42">
      <w:pPr>
        <w:numPr>
          <w:ilvl w:val="0"/>
          <w:numId w:val="49"/>
        </w:numPr>
        <w:ind w:firstLineChars="200" w:firstLine="480"/>
        <w:rPr>
          <w:rFonts w:cs="Times New Roman"/>
          <w:szCs w:val="24"/>
        </w:rPr>
      </w:pPr>
      <w:r>
        <w:rPr>
          <w:rFonts w:cs="Times New Roman"/>
          <w:szCs w:val="24"/>
        </w:rPr>
        <w:t>加密巡线频次，提高巡线质量，优化巡线路径，对管道泄漏可能造成影响到的居民区、学校、医院、集市和加油站等，建立安全警告机制，加大管道沿线高后果区的管道保护知识宣传力度，重点普及管道发生泄漏事故的危害性、紧急疏散逃生、自救常识。</w:t>
      </w:r>
    </w:p>
    <w:p w14:paraId="2F780FE3" w14:textId="77777777" w:rsidR="00261EC6" w:rsidRDefault="00FF4B42">
      <w:pPr>
        <w:numPr>
          <w:ilvl w:val="0"/>
          <w:numId w:val="49"/>
        </w:numPr>
        <w:ind w:firstLineChars="200" w:firstLine="480"/>
        <w:rPr>
          <w:rFonts w:cs="Times New Roman"/>
          <w:szCs w:val="24"/>
        </w:rPr>
      </w:pPr>
      <w:r>
        <w:rPr>
          <w:rFonts w:cs="Times New Roman"/>
          <w:szCs w:val="24"/>
        </w:rPr>
        <w:t>完善</w:t>
      </w:r>
      <w:r>
        <w:rPr>
          <w:rFonts w:cs="Times New Roman"/>
          <w:szCs w:val="24"/>
        </w:rPr>
        <w:t>“</w:t>
      </w:r>
      <w:r>
        <w:rPr>
          <w:rFonts w:cs="Times New Roman"/>
          <w:szCs w:val="24"/>
        </w:rPr>
        <w:t>三桩一牌</w:t>
      </w:r>
      <w:r>
        <w:rPr>
          <w:rFonts w:cs="Times New Roman"/>
          <w:szCs w:val="24"/>
        </w:rPr>
        <w:t>”</w:t>
      </w:r>
      <w:r>
        <w:rPr>
          <w:rFonts w:cs="Times New Roman"/>
          <w:szCs w:val="24"/>
        </w:rPr>
        <w:t>确保通视要求。在管道正上方设置加密桩、标识标牌，桩牌之间的间距不应大于</w:t>
      </w:r>
      <w:r>
        <w:rPr>
          <w:rFonts w:cs="Times New Roman"/>
          <w:szCs w:val="24"/>
        </w:rPr>
        <w:t>50</w:t>
      </w:r>
      <w:r>
        <w:rPr>
          <w:rFonts w:cs="Times New Roman"/>
          <w:szCs w:val="24"/>
        </w:rPr>
        <w:t>米，确保通视要求，并且使加密的警示牌准确地位于管道正上方，每段高后果区设置</w:t>
      </w:r>
      <w:r>
        <w:rPr>
          <w:rFonts w:cs="Times New Roman"/>
          <w:szCs w:val="24"/>
        </w:rPr>
        <w:t>1</w:t>
      </w:r>
      <w:r>
        <w:rPr>
          <w:rFonts w:cs="Times New Roman"/>
          <w:szCs w:val="24"/>
        </w:rPr>
        <w:t>个安全警示牌，作出安全提示，警示牌的制作可参照附录</w:t>
      </w:r>
      <w:r>
        <w:rPr>
          <w:rFonts w:cs="Times New Roman"/>
          <w:szCs w:val="24"/>
        </w:rPr>
        <w:t>B</w:t>
      </w:r>
      <w:r>
        <w:rPr>
          <w:rFonts w:cs="Times New Roman"/>
          <w:szCs w:val="24"/>
        </w:rPr>
        <w:t>。对于丢失、损坏的，及时完成维护（修）、补充，位置不准的，及时增补、维修和调整。</w:t>
      </w:r>
    </w:p>
    <w:p w14:paraId="2F780FE4" w14:textId="77777777" w:rsidR="00261EC6" w:rsidRDefault="00FF4B42">
      <w:pPr>
        <w:numPr>
          <w:ilvl w:val="0"/>
          <w:numId w:val="49"/>
        </w:numPr>
        <w:ind w:firstLineChars="200" w:firstLine="480"/>
        <w:rPr>
          <w:rFonts w:cs="Times New Roman"/>
          <w:szCs w:val="24"/>
        </w:rPr>
      </w:pPr>
      <w:r>
        <w:rPr>
          <w:rFonts w:cs="Times New Roman"/>
          <w:szCs w:val="24"/>
        </w:rPr>
        <w:t>针对特定场所，记录负责人的联系电话，保持联系畅通；加大与高后果地区相关地方政府职能部门的沟通联系，积极与地方政府规划、国土部门、发改委、安监等的联系，与沿线村民委员会紧密配合，与沿线社会组织，与地方公安、消防、医院等部门定期联系。</w:t>
      </w:r>
    </w:p>
    <w:p w14:paraId="2F780FE5" w14:textId="77777777" w:rsidR="00261EC6" w:rsidRDefault="00FF4B42">
      <w:pPr>
        <w:numPr>
          <w:ilvl w:val="0"/>
          <w:numId w:val="49"/>
        </w:numPr>
        <w:ind w:firstLineChars="200" w:firstLine="480"/>
        <w:rPr>
          <w:rFonts w:cs="Times New Roman"/>
          <w:szCs w:val="24"/>
        </w:rPr>
      </w:pPr>
      <w:r>
        <w:rPr>
          <w:rFonts w:cs="Times New Roman"/>
          <w:szCs w:val="24"/>
        </w:rPr>
        <w:t>高后果区管理范围内应严格执行第三方施工管理制度，完善信息收集制度，切实做到</w:t>
      </w:r>
      <w:r>
        <w:rPr>
          <w:rFonts w:cs="Times New Roman"/>
          <w:szCs w:val="24"/>
        </w:rPr>
        <w:t>“</w:t>
      </w:r>
      <w:r>
        <w:rPr>
          <w:rFonts w:cs="Times New Roman"/>
          <w:szCs w:val="24"/>
        </w:rPr>
        <w:t>五四三二一</w:t>
      </w:r>
      <w:r>
        <w:rPr>
          <w:rFonts w:cs="Times New Roman"/>
          <w:szCs w:val="24"/>
        </w:rPr>
        <w:t>”</w:t>
      </w:r>
      <w:r>
        <w:rPr>
          <w:rFonts w:cs="Times New Roman"/>
          <w:szCs w:val="24"/>
        </w:rPr>
        <w:t>交叉施工管理工作程序，负责对第三方施工实施全过程监督管理。</w:t>
      </w:r>
    </w:p>
    <w:p w14:paraId="2F780FE6" w14:textId="77777777" w:rsidR="00261EC6" w:rsidRDefault="00FF4B42">
      <w:pPr>
        <w:numPr>
          <w:ilvl w:val="0"/>
          <w:numId w:val="49"/>
        </w:numPr>
        <w:ind w:firstLineChars="200" w:firstLine="480"/>
        <w:rPr>
          <w:rFonts w:cs="Times New Roman"/>
          <w:szCs w:val="24"/>
        </w:rPr>
      </w:pPr>
      <w:r>
        <w:rPr>
          <w:rFonts w:cs="Times New Roman"/>
          <w:szCs w:val="24"/>
        </w:rPr>
        <w:t>定期检测高后果区内管道阴极保护电位是否正常，是否存在杂散电流干扰，采取有效措施保证管道阴极保护系统正常工作，确保管道本体安全。</w:t>
      </w:r>
    </w:p>
    <w:p w14:paraId="2F780FE7" w14:textId="77777777" w:rsidR="00261EC6" w:rsidRDefault="00FF4B42">
      <w:pPr>
        <w:numPr>
          <w:ilvl w:val="0"/>
          <w:numId w:val="49"/>
        </w:numPr>
        <w:ind w:firstLineChars="200" w:firstLine="480"/>
        <w:rPr>
          <w:rFonts w:cs="Times New Roman"/>
        </w:rPr>
      </w:pPr>
      <w:r>
        <w:rPr>
          <w:rFonts w:cs="Times New Roman"/>
          <w:szCs w:val="24"/>
        </w:rPr>
        <w:t>梳理并完善高后果区应急预案及现场处置方案，确保应急方案的可执行性，掌握落实管道周边抢修资源的分布，加强人员培训，定期组织应急演练，提高应急处置能力。</w:t>
      </w:r>
    </w:p>
    <w:p w14:paraId="2F780FE9" w14:textId="77777777" w:rsidR="00261EC6" w:rsidRDefault="00FF4B42">
      <w:pPr>
        <w:ind w:firstLineChars="200" w:firstLine="480"/>
        <w:rPr>
          <w:rFonts w:asciiTheme="majorEastAsia" w:eastAsiaTheme="majorEastAsia" w:hAnsiTheme="majorEastAsia"/>
          <w:sz w:val="21"/>
          <w:szCs w:val="21"/>
        </w:rPr>
      </w:pPr>
      <w:r>
        <w:rPr>
          <w:rFonts w:cs="Times New Roman"/>
          <w:szCs w:val="24"/>
        </w:rPr>
        <w:t>高后果区不是一成不变的，管线周边的人口环境会随时间而发生变化，，要随时注意各地区等级及人口环境的变化情况。根据变化情况及时更新完善高后果区，并针对高后果区作出适当的风险评价及其管理建议。根据</w:t>
      </w:r>
      <w:r>
        <w:rPr>
          <w:rFonts w:cs="Times New Roman"/>
          <w:szCs w:val="24"/>
        </w:rPr>
        <w:t>GB32167-2015</w:t>
      </w:r>
      <w:r>
        <w:rPr>
          <w:rFonts w:cs="Times New Roman"/>
          <w:szCs w:val="24"/>
        </w:rPr>
        <w:t>《油气输送完整性管理规范》中第</w:t>
      </w:r>
      <w:r>
        <w:rPr>
          <w:rFonts w:cs="Times New Roman"/>
          <w:szCs w:val="24"/>
        </w:rPr>
        <w:t>4.5</w:t>
      </w:r>
      <w:r>
        <w:rPr>
          <w:rFonts w:cs="Times New Roman"/>
          <w:szCs w:val="24"/>
        </w:rPr>
        <w:t>条要求，管道运营期周期性地进行高后果区识</w:t>
      </w:r>
      <w:r>
        <w:rPr>
          <w:rFonts w:cs="Times New Roman"/>
          <w:szCs w:val="24"/>
        </w:rPr>
        <w:lastRenderedPageBreak/>
        <w:t>别，识别时间间隔最长不超过</w:t>
      </w:r>
      <w:r>
        <w:rPr>
          <w:rFonts w:cs="Times New Roman"/>
          <w:szCs w:val="24"/>
        </w:rPr>
        <w:t>18</w:t>
      </w:r>
      <w:r>
        <w:rPr>
          <w:rFonts w:cs="Times New Roman"/>
          <w:szCs w:val="24"/>
        </w:rPr>
        <w:t>个月。</w:t>
      </w:r>
    </w:p>
    <w:p w14:paraId="2F780FEA" w14:textId="77777777" w:rsidR="00261EC6" w:rsidRDefault="00261EC6">
      <w:pPr>
        <w:rPr>
          <w:rFonts w:cs="Times New Roman"/>
        </w:rPr>
      </w:pPr>
    </w:p>
    <w:sectPr w:rsidR="00261EC6">
      <w:footerReference w:type="default" r:id="rId12"/>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C2AFCB" w14:textId="77777777" w:rsidR="001E67AE" w:rsidRDefault="001E67AE">
      <w:pPr>
        <w:spacing w:line="240" w:lineRule="auto"/>
      </w:pPr>
      <w:r>
        <w:separator/>
      </w:r>
    </w:p>
  </w:endnote>
  <w:endnote w:type="continuationSeparator" w:id="0">
    <w:p w14:paraId="775084E1" w14:textId="77777777" w:rsidR="001E67AE" w:rsidRDefault="001E67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仿宋简体">
    <w:altName w:val="微软雅黑"/>
    <w:charset w:val="86"/>
    <w:family w:val="auto"/>
    <w:pitch w:val="default"/>
    <w:sig w:usb0="00000000" w:usb1="0000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0574461"/>
    </w:sdtPr>
    <w:sdtEndPr/>
    <w:sdtContent>
      <w:p w14:paraId="2F781295" w14:textId="77777777" w:rsidR="00597965" w:rsidRDefault="00597965">
        <w:pPr>
          <w:pStyle w:val="a8"/>
          <w:jc w:val="center"/>
        </w:pPr>
        <w:r>
          <w:fldChar w:fldCharType="begin"/>
        </w:r>
        <w:r>
          <w:instrText>PAGE   \* MERGEFORMAT</w:instrText>
        </w:r>
        <w:r>
          <w:fldChar w:fldCharType="separate"/>
        </w:r>
        <w:r w:rsidR="001C2F78" w:rsidRPr="001C2F78">
          <w:rPr>
            <w:noProof/>
            <w:lang w:val="zh-CN"/>
          </w:rPr>
          <w:t>-</w:t>
        </w:r>
        <w:r w:rsidR="001C2F78">
          <w:rPr>
            <w:noProof/>
          </w:rPr>
          <w:t xml:space="preserve"> 6 -</w:t>
        </w:r>
        <w:r>
          <w:fldChar w:fldCharType="end"/>
        </w:r>
      </w:p>
    </w:sdtContent>
  </w:sdt>
  <w:p w14:paraId="2F781296" w14:textId="77777777" w:rsidR="00597965" w:rsidRDefault="005979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FEBCCF" w14:textId="77777777" w:rsidR="001E67AE" w:rsidRDefault="001E67AE">
      <w:pPr>
        <w:spacing w:line="240" w:lineRule="auto"/>
      </w:pPr>
      <w:r>
        <w:separator/>
      </w:r>
    </w:p>
  </w:footnote>
  <w:footnote w:type="continuationSeparator" w:id="0">
    <w:p w14:paraId="3480FDD0" w14:textId="77777777" w:rsidR="001E67AE" w:rsidRDefault="001E67A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81294" w14:textId="6AFBE64C" w:rsidR="00597965" w:rsidRDefault="00597965">
    <w:pPr>
      <w:pStyle w:val="a9"/>
    </w:pPr>
    <w:r>
      <w:rPr>
        <w:rFonts w:hint="eastAsia"/>
      </w:rPr>
      <w:t>高后果区识别报告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36B8DF2"/>
    <w:multiLevelType w:val="singleLevel"/>
    <w:tmpl w:val="936B8DF2"/>
    <w:lvl w:ilvl="0">
      <w:start w:val="1"/>
      <w:numFmt w:val="decimal"/>
      <w:suff w:val="nothing"/>
      <w:lvlText w:val="（%1）"/>
      <w:lvlJc w:val="left"/>
    </w:lvl>
  </w:abstractNum>
  <w:abstractNum w:abstractNumId="1" w15:restartNumberingAfterBreak="0">
    <w:nsid w:val="94810D3C"/>
    <w:multiLevelType w:val="singleLevel"/>
    <w:tmpl w:val="94810D3C"/>
    <w:lvl w:ilvl="0">
      <w:start w:val="1"/>
      <w:numFmt w:val="decimal"/>
      <w:suff w:val="space"/>
      <w:lvlText w:val="%1."/>
      <w:lvlJc w:val="left"/>
    </w:lvl>
  </w:abstractNum>
  <w:abstractNum w:abstractNumId="2" w15:restartNumberingAfterBreak="0">
    <w:nsid w:val="AAA035EA"/>
    <w:multiLevelType w:val="singleLevel"/>
    <w:tmpl w:val="AAA035EA"/>
    <w:lvl w:ilvl="0">
      <w:start w:val="1"/>
      <w:numFmt w:val="decimal"/>
      <w:suff w:val="space"/>
      <w:lvlText w:val="%1."/>
      <w:lvlJc w:val="left"/>
    </w:lvl>
  </w:abstractNum>
  <w:abstractNum w:abstractNumId="3" w15:restartNumberingAfterBreak="0">
    <w:nsid w:val="C5824183"/>
    <w:multiLevelType w:val="singleLevel"/>
    <w:tmpl w:val="C5824183"/>
    <w:lvl w:ilvl="0">
      <w:start w:val="1"/>
      <w:numFmt w:val="decimal"/>
      <w:suff w:val="space"/>
      <w:lvlText w:val="%1."/>
      <w:lvlJc w:val="left"/>
    </w:lvl>
  </w:abstractNum>
  <w:abstractNum w:abstractNumId="4" w15:restartNumberingAfterBreak="0">
    <w:nsid w:val="FCCBDBDD"/>
    <w:multiLevelType w:val="singleLevel"/>
    <w:tmpl w:val="FCCBDBDD"/>
    <w:lvl w:ilvl="0">
      <w:start w:val="1"/>
      <w:numFmt w:val="decimal"/>
      <w:suff w:val="nothing"/>
      <w:lvlText w:val="（%1）"/>
      <w:lvlJc w:val="left"/>
    </w:lvl>
  </w:abstractNum>
  <w:abstractNum w:abstractNumId="5" w15:restartNumberingAfterBreak="0">
    <w:nsid w:val="FD395DBA"/>
    <w:multiLevelType w:val="singleLevel"/>
    <w:tmpl w:val="FD395DBA"/>
    <w:lvl w:ilvl="0">
      <w:start w:val="1"/>
      <w:numFmt w:val="decimal"/>
      <w:suff w:val="space"/>
      <w:lvlText w:val="%1."/>
      <w:lvlJc w:val="left"/>
    </w:lvl>
  </w:abstractNum>
  <w:abstractNum w:abstractNumId="6" w15:restartNumberingAfterBreak="0">
    <w:nsid w:val="001430F7"/>
    <w:multiLevelType w:val="multilevel"/>
    <w:tmpl w:val="001430F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017933B4"/>
    <w:multiLevelType w:val="multilevel"/>
    <w:tmpl w:val="017933B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01D74C82"/>
    <w:multiLevelType w:val="multilevel"/>
    <w:tmpl w:val="01D74C8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02E54B61"/>
    <w:multiLevelType w:val="multilevel"/>
    <w:tmpl w:val="02E54B6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03B7377A"/>
    <w:multiLevelType w:val="multilevel"/>
    <w:tmpl w:val="03B7377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0C3DC5D4"/>
    <w:multiLevelType w:val="singleLevel"/>
    <w:tmpl w:val="0C3DC5D4"/>
    <w:lvl w:ilvl="0">
      <w:start w:val="1"/>
      <w:numFmt w:val="decimal"/>
      <w:suff w:val="space"/>
      <w:lvlText w:val="%1."/>
      <w:lvlJc w:val="left"/>
    </w:lvl>
  </w:abstractNum>
  <w:abstractNum w:abstractNumId="12" w15:restartNumberingAfterBreak="0">
    <w:nsid w:val="17544D6F"/>
    <w:multiLevelType w:val="singleLevel"/>
    <w:tmpl w:val="17544D6F"/>
    <w:lvl w:ilvl="0">
      <w:start w:val="1"/>
      <w:numFmt w:val="decimal"/>
      <w:suff w:val="space"/>
      <w:lvlText w:val="%1."/>
      <w:lvlJc w:val="left"/>
    </w:lvl>
  </w:abstractNum>
  <w:abstractNum w:abstractNumId="13" w15:restartNumberingAfterBreak="0">
    <w:nsid w:val="18EB183D"/>
    <w:multiLevelType w:val="multilevel"/>
    <w:tmpl w:val="18EB183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1A810F01"/>
    <w:multiLevelType w:val="multilevel"/>
    <w:tmpl w:val="1A810F0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15:restartNumberingAfterBreak="0">
    <w:nsid w:val="1EEF69B6"/>
    <w:multiLevelType w:val="multilevel"/>
    <w:tmpl w:val="1EEF69B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279F47C3"/>
    <w:multiLevelType w:val="multilevel"/>
    <w:tmpl w:val="279F47C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15:restartNumberingAfterBreak="0">
    <w:nsid w:val="2D0F5B06"/>
    <w:multiLevelType w:val="multilevel"/>
    <w:tmpl w:val="2D0F5B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3146CF77"/>
    <w:multiLevelType w:val="singleLevel"/>
    <w:tmpl w:val="3146CF77"/>
    <w:lvl w:ilvl="0">
      <w:start w:val="1"/>
      <w:numFmt w:val="decimal"/>
      <w:lvlText w:val="%1."/>
      <w:lvlJc w:val="left"/>
      <w:pPr>
        <w:tabs>
          <w:tab w:val="left" w:pos="312"/>
        </w:tabs>
      </w:pPr>
    </w:lvl>
  </w:abstractNum>
  <w:abstractNum w:abstractNumId="19" w15:restartNumberingAfterBreak="0">
    <w:nsid w:val="33602660"/>
    <w:multiLevelType w:val="multilevel"/>
    <w:tmpl w:val="336026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0" w15:restartNumberingAfterBreak="0">
    <w:nsid w:val="35D914C9"/>
    <w:multiLevelType w:val="multilevel"/>
    <w:tmpl w:val="35D914C9"/>
    <w:lvl w:ilvl="0">
      <w:start w:val="6"/>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379E61D8"/>
    <w:multiLevelType w:val="multilevel"/>
    <w:tmpl w:val="379E61D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2" w15:restartNumberingAfterBreak="0">
    <w:nsid w:val="3E40684C"/>
    <w:multiLevelType w:val="multilevel"/>
    <w:tmpl w:val="3E40684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3" w15:restartNumberingAfterBreak="0">
    <w:nsid w:val="3F368824"/>
    <w:multiLevelType w:val="singleLevel"/>
    <w:tmpl w:val="3F368824"/>
    <w:lvl w:ilvl="0">
      <w:start w:val="1"/>
      <w:numFmt w:val="decimal"/>
      <w:suff w:val="space"/>
      <w:lvlText w:val="%1."/>
      <w:lvlJc w:val="left"/>
    </w:lvl>
  </w:abstractNum>
  <w:abstractNum w:abstractNumId="24" w15:restartNumberingAfterBreak="0">
    <w:nsid w:val="43305058"/>
    <w:multiLevelType w:val="multilevel"/>
    <w:tmpl w:val="4330505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5" w15:restartNumberingAfterBreak="0">
    <w:nsid w:val="483439ED"/>
    <w:multiLevelType w:val="multilevel"/>
    <w:tmpl w:val="483439E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49396626"/>
    <w:multiLevelType w:val="multilevel"/>
    <w:tmpl w:val="4939662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49A1775A"/>
    <w:multiLevelType w:val="multilevel"/>
    <w:tmpl w:val="49A1775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8" w15:restartNumberingAfterBreak="0">
    <w:nsid w:val="507966F0"/>
    <w:multiLevelType w:val="singleLevel"/>
    <w:tmpl w:val="507966F0"/>
    <w:lvl w:ilvl="0">
      <w:start w:val="1"/>
      <w:numFmt w:val="decimal"/>
      <w:suff w:val="space"/>
      <w:lvlText w:val="（%1）"/>
      <w:lvlJc w:val="left"/>
    </w:lvl>
  </w:abstractNum>
  <w:abstractNum w:abstractNumId="29" w15:restartNumberingAfterBreak="0">
    <w:nsid w:val="514B63DC"/>
    <w:multiLevelType w:val="multilevel"/>
    <w:tmpl w:val="514B63D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15:restartNumberingAfterBreak="0">
    <w:nsid w:val="51F05619"/>
    <w:multiLevelType w:val="singleLevel"/>
    <w:tmpl w:val="51F05619"/>
    <w:lvl w:ilvl="0">
      <w:start w:val="1"/>
      <w:numFmt w:val="decimal"/>
      <w:lvlText w:val="%1."/>
      <w:lvlJc w:val="left"/>
      <w:pPr>
        <w:tabs>
          <w:tab w:val="left" w:pos="312"/>
        </w:tabs>
      </w:pPr>
    </w:lvl>
  </w:abstractNum>
  <w:abstractNum w:abstractNumId="31" w15:restartNumberingAfterBreak="0">
    <w:nsid w:val="53BAE8A3"/>
    <w:multiLevelType w:val="singleLevel"/>
    <w:tmpl w:val="53BAE8A3"/>
    <w:lvl w:ilvl="0">
      <w:start w:val="1"/>
      <w:numFmt w:val="decimal"/>
      <w:suff w:val="space"/>
      <w:lvlText w:val="%1."/>
      <w:lvlJc w:val="left"/>
    </w:lvl>
  </w:abstractNum>
  <w:abstractNum w:abstractNumId="32" w15:restartNumberingAfterBreak="0">
    <w:nsid w:val="57047834"/>
    <w:multiLevelType w:val="multilevel"/>
    <w:tmpl w:val="5704783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3" w15:restartNumberingAfterBreak="0">
    <w:nsid w:val="59B77669"/>
    <w:multiLevelType w:val="singleLevel"/>
    <w:tmpl w:val="59B77669"/>
    <w:lvl w:ilvl="0">
      <w:start w:val="1"/>
      <w:numFmt w:val="bullet"/>
      <w:lvlText w:val=""/>
      <w:lvlJc w:val="left"/>
      <w:pPr>
        <w:ind w:left="420" w:hanging="420"/>
      </w:pPr>
      <w:rPr>
        <w:rFonts w:ascii="Wingdings" w:hAnsi="Wingdings" w:hint="default"/>
      </w:rPr>
    </w:lvl>
  </w:abstractNum>
  <w:abstractNum w:abstractNumId="34" w15:restartNumberingAfterBreak="0">
    <w:nsid w:val="59BA4858"/>
    <w:multiLevelType w:val="singleLevel"/>
    <w:tmpl w:val="59BA4858"/>
    <w:lvl w:ilvl="0">
      <w:start w:val="1"/>
      <w:numFmt w:val="decimal"/>
      <w:suff w:val="nothing"/>
      <w:lvlText w:val="%1）"/>
      <w:lvlJc w:val="left"/>
    </w:lvl>
  </w:abstractNum>
  <w:abstractNum w:abstractNumId="35" w15:restartNumberingAfterBreak="0">
    <w:nsid w:val="59BA905F"/>
    <w:multiLevelType w:val="singleLevel"/>
    <w:tmpl w:val="59BA905F"/>
    <w:lvl w:ilvl="0">
      <w:start w:val="1"/>
      <w:numFmt w:val="decimal"/>
      <w:suff w:val="nothing"/>
      <w:lvlText w:val="（%1）"/>
      <w:lvlJc w:val="left"/>
    </w:lvl>
  </w:abstractNum>
  <w:abstractNum w:abstractNumId="36" w15:restartNumberingAfterBreak="0">
    <w:nsid w:val="59BB2F1D"/>
    <w:multiLevelType w:val="singleLevel"/>
    <w:tmpl w:val="59BB2F1D"/>
    <w:lvl w:ilvl="0">
      <w:start w:val="1"/>
      <w:numFmt w:val="decimal"/>
      <w:suff w:val="nothing"/>
      <w:lvlText w:val="%1、"/>
      <w:lvlJc w:val="left"/>
    </w:lvl>
  </w:abstractNum>
  <w:abstractNum w:abstractNumId="37" w15:restartNumberingAfterBreak="0">
    <w:nsid w:val="59BB3419"/>
    <w:multiLevelType w:val="singleLevel"/>
    <w:tmpl w:val="59BB3419"/>
    <w:lvl w:ilvl="0">
      <w:start w:val="1"/>
      <w:numFmt w:val="decimal"/>
      <w:suff w:val="nothing"/>
      <w:lvlText w:val="（%1）"/>
      <w:lvlJc w:val="left"/>
    </w:lvl>
  </w:abstractNum>
  <w:abstractNum w:abstractNumId="38" w15:restartNumberingAfterBreak="0">
    <w:nsid w:val="59BB3472"/>
    <w:multiLevelType w:val="singleLevel"/>
    <w:tmpl w:val="59BB3472"/>
    <w:lvl w:ilvl="0">
      <w:start w:val="1"/>
      <w:numFmt w:val="decimal"/>
      <w:suff w:val="nothing"/>
      <w:lvlText w:val="%1、"/>
      <w:lvlJc w:val="left"/>
    </w:lvl>
  </w:abstractNum>
  <w:abstractNum w:abstractNumId="39" w15:restartNumberingAfterBreak="0">
    <w:nsid w:val="59BB3B69"/>
    <w:multiLevelType w:val="singleLevel"/>
    <w:tmpl w:val="59BB3B69"/>
    <w:lvl w:ilvl="0">
      <w:start w:val="1"/>
      <w:numFmt w:val="lowerLetter"/>
      <w:suff w:val="nothing"/>
      <w:lvlText w:val="%1."/>
      <w:lvlJc w:val="left"/>
    </w:lvl>
  </w:abstractNum>
  <w:abstractNum w:abstractNumId="40" w15:restartNumberingAfterBreak="0">
    <w:nsid w:val="59BB3E04"/>
    <w:multiLevelType w:val="singleLevel"/>
    <w:tmpl w:val="59BB3E04"/>
    <w:lvl w:ilvl="0">
      <w:start w:val="2"/>
      <w:numFmt w:val="decimal"/>
      <w:suff w:val="nothing"/>
      <w:lvlText w:val="（%1）"/>
      <w:lvlJc w:val="left"/>
    </w:lvl>
  </w:abstractNum>
  <w:abstractNum w:abstractNumId="41" w15:restartNumberingAfterBreak="0">
    <w:nsid w:val="59BB4070"/>
    <w:multiLevelType w:val="singleLevel"/>
    <w:tmpl w:val="59BB4070"/>
    <w:lvl w:ilvl="0">
      <w:start w:val="4"/>
      <w:numFmt w:val="decimal"/>
      <w:suff w:val="nothing"/>
      <w:lvlText w:val="（%1）"/>
      <w:lvlJc w:val="left"/>
    </w:lvl>
  </w:abstractNum>
  <w:abstractNum w:abstractNumId="42" w15:restartNumberingAfterBreak="0">
    <w:nsid w:val="59BBDA57"/>
    <w:multiLevelType w:val="singleLevel"/>
    <w:tmpl w:val="59BBDA57"/>
    <w:lvl w:ilvl="0">
      <w:start w:val="1"/>
      <w:numFmt w:val="decimal"/>
      <w:suff w:val="nothing"/>
      <w:lvlText w:val="（%1）"/>
      <w:lvlJc w:val="left"/>
    </w:lvl>
  </w:abstractNum>
  <w:abstractNum w:abstractNumId="43" w15:restartNumberingAfterBreak="0">
    <w:nsid w:val="59BBE2B3"/>
    <w:multiLevelType w:val="singleLevel"/>
    <w:tmpl w:val="59BBE2B3"/>
    <w:lvl w:ilvl="0">
      <w:start w:val="1"/>
      <w:numFmt w:val="decimal"/>
      <w:suff w:val="nothing"/>
      <w:lvlText w:val="（%1）"/>
      <w:lvlJc w:val="left"/>
    </w:lvl>
  </w:abstractNum>
  <w:abstractNum w:abstractNumId="44" w15:restartNumberingAfterBreak="0">
    <w:nsid w:val="59BBE5CF"/>
    <w:multiLevelType w:val="singleLevel"/>
    <w:tmpl w:val="59BBE5CF"/>
    <w:lvl w:ilvl="0">
      <w:start w:val="1"/>
      <w:numFmt w:val="decimal"/>
      <w:suff w:val="nothing"/>
      <w:lvlText w:val="（%1）"/>
      <w:lvlJc w:val="left"/>
    </w:lvl>
  </w:abstractNum>
  <w:abstractNum w:abstractNumId="45" w15:restartNumberingAfterBreak="0">
    <w:nsid w:val="5AC33573"/>
    <w:multiLevelType w:val="singleLevel"/>
    <w:tmpl w:val="5AC33573"/>
    <w:lvl w:ilvl="0">
      <w:start w:val="1"/>
      <w:numFmt w:val="chineseCounting"/>
      <w:suff w:val="nothing"/>
      <w:lvlText w:val="%1、"/>
      <w:lvlJc w:val="left"/>
    </w:lvl>
  </w:abstractNum>
  <w:abstractNum w:abstractNumId="46" w15:restartNumberingAfterBreak="0">
    <w:nsid w:val="5AC335A1"/>
    <w:multiLevelType w:val="multilevel"/>
    <w:tmpl w:val="5AC335A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7" w15:restartNumberingAfterBreak="0">
    <w:nsid w:val="632C803D"/>
    <w:multiLevelType w:val="singleLevel"/>
    <w:tmpl w:val="632C803D"/>
    <w:lvl w:ilvl="0">
      <w:start w:val="3"/>
      <w:numFmt w:val="decimal"/>
      <w:suff w:val="space"/>
      <w:lvlText w:val="%1."/>
      <w:lvlJc w:val="left"/>
    </w:lvl>
  </w:abstractNum>
  <w:abstractNum w:abstractNumId="48" w15:restartNumberingAfterBreak="0">
    <w:nsid w:val="6A4E7A03"/>
    <w:multiLevelType w:val="multilevel"/>
    <w:tmpl w:val="6A4E7A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9" w15:restartNumberingAfterBreak="0">
    <w:nsid w:val="6D7747BE"/>
    <w:multiLevelType w:val="multilevel"/>
    <w:tmpl w:val="6D7747B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0" w15:restartNumberingAfterBreak="0">
    <w:nsid w:val="6F0729A0"/>
    <w:multiLevelType w:val="multilevel"/>
    <w:tmpl w:val="6F0729A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1" w15:restartNumberingAfterBreak="0">
    <w:nsid w:val="708B58F5"/>
    <w:multiLevelType w:val="multilevel"/>
    <w:tmpl w:val="708B58F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2" w15:restartNumberingAfterBreak="0">
    <w:nsid w:val="713709BC"/>
    <w:multiLevelType w:val="multilevel"/>
    <w:tmpl w:val="713709B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3" w15:restartNumberingAfterBreak="0">
    <w:nsid w:val="71C90C72"/>
    <w:multiLevelType w:val="multilevel"/>
    <w:tmpl w:val="71C90C72"/>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54" w15:restartNumberingAfterBreak="0">
    <w:nsid w:val="7304DC5B"/>
    <w:multiLevelType w:val="singleLevel"/>
    <w:tmpl w:val="7304DC5B"/>
    <w:lvl w:ilvl="0">
      <w:start w:val="1"/>
      <w:numFmt w:val="decimal"/>
      <w:suff w:val="space"/>
      <w:lvlText w:val="%1."/>
      <w:lvlJc w:val="left"/>
    </w:lvl>
  </w:abstractNum>
  <w:abstractNum w:abstractNumId="55" w15:restartNumberingAfterBreak="0">
    <w:nsid w:val="73EC6F57"/>
    <w:multiLevelType w:val="multilevel"/>
    <w:tmpl w:val="73EC6F57"/>
    <w:lvl w:ilvl="0">
      <w:start w:val="1"/>
      <w:numFmt w:val="decimal"/>
      <w:lvlText w:val="%1)"/>
      <w:lvlJc w:val="left"/>
      <w:pPr>
        <w:ind w:left="900" w:hanging="420"/>
      </w:pPr>
    </w:lvl>
    <w:lvl w:ilvl="1">
      <w:start w:val="2"/>
      <w:numFmt w:val="decimal"/>
      <w:lvlText w:val="%2，"/>
      <w:lvlJc w:val="left"/>
      <w:pPr>
        <w:ind w:left="1260" w:hanging="360"/>
      </w:pPr>
      <w:rPr>
        <w:rFonts w:hint="default"/>
      </w:r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6" w15:restartNumberingAfterBreak="0">
    <w:nsid w:val="77733EBB"/>
    <w:multiLevelType w:val="singleLevel"/>
    <w:tmpl w:val="77733EBB"/>
    <w:lvl w:ilvl="0">
      <w:start w:val="1"/>
      <w:numFmt w:val="decimal"/>
      <w:suff w:val="space"/>
      <w:lvlText w:val="%1."/>
      <w:lvlJc w:val="left"/>
    </w:lvl>
  </w:abstractNum>
  <w:abstractNum w:abstractNumId="57" w15:restartNumberingAfterBreak="0">
    <w:nsid w:val="7DF1E17E"/>
    <w:multiLevelType w:val="singleLevel"/>
    <w:tmpl w:val="7DF1E17E"/>
    <w:lvl w:ilvl="0">
      <w:start w:val="1"/>
      <w:numFmt w:val="decimal"/>
      <w:suff w:val="space"/>
      <w:lvlText w:val="%1."/>
      <w:lvlJc w:val="left"/>
    </w:lvl>
  </w:abstractNum>
  <w:abstractNum w:abstractNumId="58" w15:restartNumberingAfterBreak="0">
    <w:nsid w:val="7FA9B90C"/>
    <w:multiLevelType w:val="singleLevel"/>
    <w:tmpl w:val="7FA9B90C"/>
    <w:lvl w:ilvl="0">
      <w:start w:val="1"/>
      <w:numFmt w:val="decimal"/>
      <w:suff w:val="space"/>
      <w:lvlText w:val="%1."/>
      <w:lvlJc w:val="left"/>
    </w:lvl>
  </w:abstractNum>
  <w:num w:numId="1">
    <w:abstractNumId w:val="45"/>
  </w:num>
  <w:num w:numId="2">
    <w:abstractNumId w:val="46"/>
  </w:num>
  <w:num w:numId="3">
    <w:abstractNumId w:val="55"/>
  </w:num>
  <w:num w:numId="4">
    <w:abstractNumId w:val="33"/>
  </w:num>
  <w:num w:numId="5">
    <w:abstractNumId w:val="34"/>
  </w:num>
  <w:num w:numId="6">
    <w:abstractNumId w:val="17"/>
  </w:num>
  <w:num w:numId="7">
    <w:abstractNumId w:val="23"/>
  </w:num>
  <w:num w:numId="8">
    <w:abstractNumId w:val="4"/>
  </w:num>
  <w:num w:numId="9">
    <w:abstractNumId w:val="47"/>
  </w:num>
  <w:num w:numId="10">
    <w:abstractNumId w:val="0"/>
  </w:num>
  <w:num w:numId="11">
    <w:abstractNumId w:val="28"/>
  </w:num>
  <w:num w:numId="12">
    <w:abstractNumId w:val="25"/>
  </w:num>
  <w:num w:numId="13">
    <w:abstractNumId w:val="13"/>
  </w:num>
  <w:num w:numId="14">
    <w:abstractNumId w:val="1"/>
  </w:num>
  <w:num w:numId="15">
    <w:abstractNumId w:val="19"/>
  </w:num>
  <w:num w:numId="16">
    <w:abstractNumId w:val="51"/>
  </w:num>
  <w:num w:numId="17">
    <w:abstractNumId w:val="8"/>
  </w:num>
  <w:num w:numId="18">
    <w:abstractNumId w:val="2"/>
  </w:num>
  <w:num w:numId="19">
    <w:abstractNumId w:val="20"/>
  </w:num>
  <w:num w:numId="20">
    <w:abstractNumId w:val="52"/>
  </w:num>
  <w:num w:numId="21">
    <w:abstractNumId w:val="21"/>
  </w:num>
  <w:num w:numId="22">
    <w:abstractNumId w:val="9"/>
  </w:num>
  <w:num w:numId="23">
    <w:abstractNumId w:val="24"/>
  </w:num>
  <w:num w:numId="24">
    <w:abstractNumId w:val="11"/>
  </w:num>
  <w:num w:numId="25">
    <w:abstractNumId w:val="32"/>
  </w:num>
  <w:num w:numId="26">
    <w:abstractNumId w:val="54"/>
  </w:num>
  <w:num w:numId="27">
    <w:abstractNumId w:val="49"/>
  </w:num>
  <w:num w:numId="28">
    <w:abstractNumId w:val="12"/>
  </w:num>
  <w:num w:numId="29">
    <w:abstractNumId w:val="27"/>
  </w:num>
  <w:num w:numId="30">
    <w:abstractNumId w:val="58"/>
  </w:num>
  <w:num w:numId="31">
    <w:abstractNumId w:val="22"/>
  </w:num>
  <w:num w:numId="32">
    <w:abstractNumId w:val="5"/>
  </w:num>
  <w:num w:numId="33">
    <w:abstractNumId w:val="15"/>
  </w:num>
  <w:num w:numId="34">
    <w:abstractNumId w:val="29"/>
  </w:num>
  <w:num w:numId="35">
    <w:abstractNumId w:val="30"/>
  </w:num>
  <w:num w:numId="36">
    <w:abstractNumId w:val="26"/>
  </w:num>
  <w:num w:numId="37">
    <w:abstractNumId w:val="31"/>
  </w:num>
  <w:num w:numId="38">
    <w:abstractNumId w:val="50"/>
  </w:num>
  <w:num w:numId="39">
    <w:abstractNumId w:val="6"/>
  </w:num>
  <w:num w:numId="40">
    <w:abstractNumId w:val="56"/>
  </w:num>
  <w:num w:numId="41">
    <w:abstractNumId w:val="16"/>
  </w:num>
  <w:num w:numId="42">
    <w:abstractNumId w:val="57"/>
  </w:num>
  <w:num w:numId="43">
    <w:abstractNumId w:val="48"/>
  </w:num>
  <w:num w:numId="44">
    <w:abstractNumId w:val="14"/>
  </w:num>
  <w:num w:numId="45">
    <w:abstractNumId w:val="7"/>
  </w:num>
  <w:num w:numId="46">
    <w:abstractNumId w:val="18"/>
  </w:num>
  <w:num w:numId="47">
    <w:abstractNumId w:val="53"/>
  </w:num>
  <w:num w:numId="48">
    <w:abstractNumId w:val="3"/>
  </w:num>
  <w:num w:numId="49">
    <w:abstractNumId w:val="35"/>
  </w:num>
  <w:num w:numId="50">
    <w:abstractNumId w:val="36"/>
  </w:num>
  <w:num w:numId="51">
    <w:abstractNumId w:val="37"/>
  </w:num>
  <w:num w:numId="52">
    <w:abstractNumId w:val="38"/>
  </w:num>
  <w:num w:numId="53">
    <w:abstractNumId w:val="39"/>
  </w:num>
  <w:num w:numId="54">
    <w:abstractNumId w:val="40"/>
  </w:num>
  <w:num w:numId="55">
    <w:abstractNumId w:val="41"/>
  </w:num>
  <w:num w:numId="56">
    <w:abstractNumId w:val="10"/>
  </w:num>
  <w:num w:numId="57">
    <w:abstractNumId w:val="42"/>
  </w:num>
  <w:num w:numId="58">
    <w:abstractNumId w:val="43"/>
  </w:num>
  <w:num w:numId="59">
    <w:abstractNumId w:val="44"/>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42"/>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EAA"/>
    <w:rsid w:val="0000215B"/>
    <w:rsid w:val="000063A0"/>
    <w:rsid w:val="00012F63"/>
    <w:rsid w:val="00014EF2"/>
    <w:rsid w:val="000164CF"/>
    <w:rsid w:val="00023BCC"/>
    <w:rsid w:val="00027C84"/>
    <w:rsid w:val="00027F3A"/>
    <w:rsid w:val="00031983"/>
    <w:rsid w:val="000332F3"/>
    <w:rsid w:val="000336FB"/>
    <w:rsid w:val="000428AF"/>
    <w:rsid w:val="00042A5E"/>
    <w:rsid w:val="000441D5"/>
    <w:rsid w:val="000505F7"/>
    <w:rsid w:val="00053334"/>
    <w:rsid w:val="000571C5"/>
    <w:rsid w:val="000707ED"/>
    <w:rsid w:val="0007445F"/>
    <w:rsid w:val="000A1CD9"/>
    <w:rsid w:val="000A2E4D"/>
    <w:rsid w:val="000A3E50"/>
    <w:rsid w:val="000A6329"/>
    <w:rsid w:val="000B6314"/>
    <w:rsid w:val="000B69EA"/>
    <w:rsid w:val="000C0429"/>
    <w:rsid w:val="000E65FD"/>
    <w:rsid w:val="000F1310"/>
    <w:rsid w:val="000F6A03"/>
    <w:rsid w:val="00143711"/>
    <w:rsid w:val="00143DE3"/>
    <w:rsid w:val="0014476F"/>
    <w:rsid w:val="00145FF5"/>
    <w:rsid w:val="00150024"/>
    <w:rsid w:val="00156F35"/>
    <w:rsid w:val="00157FCD"/>
    <w:rsid w:val="00172A27"/>
    <w:rsid w:val="001754E3"/>
    <w:rsid w:val="00176244"/>
    <w:rsid w:val="00177242"/>
    <w:rsid w:val="0019027C"/>
    <w:rsid w:val="0019029F"/>
    <w:rsid w:val="0019261E"/>
    <w:rsid w:val="001A2471"/>
    <w:rsid w:val="001A5A91"/>
    <w:rsid w:val="001A5CD8"/>
    <w:rsid w:val="001A6498"/>
    <w:rsid w:val="001B0F48"/>
    <w:rsid w:val="001C20E9"/>
    <w:rsid w:val="001C2F78"/>
    <w:rsid w:val="001C499C"/>
    <w:rsid w:val="001D6B78"/>
    <w:rsid w:val="001E15E6"/>
    <w:rsid w:val="001E1BD7"/>
    <w:rsid w:val="001E67AE"/>
    <w:rsid w:val="001F2C1B"/>
    <w:rsid w:val="002012D6"/>
    <w:rsid w:val="00217F92"/>
    <w:rsid w:val="002222D0"/>
    <w:rsid w:val="00222315"/>
    <w:rsid w:val="002239B8"/>
    <w:rsid w:val="00227368"/>
    <w:rsid w:val="00230A40"/>
    <w:rsid w:val="00233507"/>
    <w:rsid w:val="00237925"/>
    <w:rsid w:val="00240AA2"/>
    <w:rsid w:val="0024150A"/>
    <w:rsid w:val="00242B09"/>
    <w:rsid w:val="00243A16"/>
    <w:rsid w:val="00246360"/>
    <w:rsid w:val="00247E05"/>
    <w:rsid w:val="00257407"/>
    <w:rsid w:val="00261EC6"/>
    <w:rsid w:val="00264248"/>
    <w:rsid w:val="00265555"/>
    <w:rsid w:val="00283E10"/>
    <w:rsid w:val="00292B3E"/>
    <w:rsid w:val="00296FF1"/>
    <w:rsid w:val="002A4DFF"/>
    <w:rsid w:val="002B1D00"/>
    <w:rsid w:val="002B5CC2"/>
    <w:rsid w:val="002D1B8C"/>
    <w:rsid w:val="002D60C3"/>
    <w:rsid w:val="002E25DE"/>
    <w:rsid w:val="002E7B5E"/>
    <w:rsid w:val="00302DCA"/>
    <w:rsid w:val="00322A66"/>
    <w:rsid w:val="00336F68"/>
    <w:rsid w:val="00350068"/>
    <w:rsid w:val="00354D15"/>
    <w:rsid w:val="0035525D"/>
    <w:rsid w:val="00361CA9"/>
    <w:rsid w:val="00363F42"/>
    <w:rsid w:val="0039248C"/>
    <w:rsid w:val="00393DDC"/>
    <w:rsid w:val="003A2E0E"/>
    <w:rsid w:val="003A492C"/>
    <w:rsid w:val="003A6A6F"/>
    <w:rsid w:val="003B2C45"/>
    <w:rsid w:val="003E2CCA"/>
    <w:rsid w:val="003F73E0"/>
    <w:rsid w:val="00401DBA"/>
    <w:rsid w:val="00415893"/>
    <w:rsid w:val="00423E59"/>
    <w:rsid w:val="0043143D"/>
    <w:rsid w:val="00432643"/>
    <w:rsid w:val="00434BC7"/>
    <w:rsid w:val="00437CF6"/>
    <w:rsid w:val="00445844"/>
    <w:rsid w:val="00457D8B"/>
    <w:rsid w:val="00464959"/>
    <w:rsid w:val="00480492"/>
    <w:rsid w:val="004809FB"/>
    <w:rsid w:val="004849D7"/>
    <w:rsid w:val="00492664"/>
    <w:rsid w:val="00494A4B"/>
    <w:rsid w:val="004A1B63"/>
    <w:rsid w:val="004A5767"/>
    <w:rsid w:val="004C5AF2"/>
    <w:rsid w:val="004D1B69"/>
    <w:rsid w:val="004D6607"/>
    <w:rsid w:val="004E335B"/>
    <w:rsid w:val="004F17E4"/>
    <w:rsid w:val="004F2C73"/>
    <w:rsid w:val="004F33B0"/>
    <w:rsid w:val="00505321"/>
    <w:rsid w:val="005057D9"/>
    <w:rsid w:val="00516D1E"/>
    <w:rsid w:val="00524585"/>
    <w:rsid w:val="00525D32"/>
    <w:rsid w:val="0053292F"/>
    <w:rsid w:val="0053484F"/>
    <w:rsid w:val="00536F93"/>
    <w:rsid w:val="005402E5"/>
    <w:rsid w:val="00553DDA"/>
    <w:rsid w:val="0056218A"/>
    <w:rsid w:val="005644C7"/>
    <w:rsid w:val="005950A6"/>
    <w:rsid w:val="00597965"/>
    <w:rsid w:val="005A38F5"/>
    <w:rsid w:val="005B0519"/>
    <w:rsid w:val="005D2E8E"/>
    <w:rsid w:val="005E6D5C"/>
    <w:rsid w:val="005F5A50"/>
    <w:rsid w:val="0061607D"/>
    <w:rsid w:val="00620D72"/>
    <w:rsid w:val="00625DD9"/>
    <w:rsid w:val="00627F00"/>
    <w:rsid w:val="00634966"/>
    <w:rsid w:val="0063671B"/>
    <w:rsid w:val="00640178"/>
    <w:rsid w:val="0064110B"/>
    <w:rsid w:val="00645AEF"/>
    <w:rsid w:val="00645B78"/>
    <w:rsid w:val="00647D20"/>
    <w:rsid w:val="00652B56"/>
    <w:rsid w:val="00661E62"/>
    <w:rsid w:val="00663558"/>
    <w:rsid w:val="00687166"/>
    <w:rsid w:val="006907AE"/>
    <w:rsid w:val="006A1B7D"/>
    <w:rsid w:val="006B13A4"/>
    <w:rsid w:val="006B6A9A"/>
    <w:rsid w:val="006C410E"/>
    <w:rsid w:val="006C70D5"/>
    <w:rsid w:val="006D0C9D"/>
    <w:rsid w:val="006D2519"/>
    <w:rsid w:val="006E234E"/>
    <w:rsid w:val="006E2907"/>
    <w:rsid w:val="006F16CF"/>
    <w:rsid w:val="00704F74"/>
    <w:rsid w:val="007061E6"/>
    <w:rsid w:val="0073560E"/>
    <w:rsid w:val="00772008"/>
    <w:rsid w:val="00773FC5"/>
    <w:rsid w:val="00777B7F"/>
    <w:rsid w:val="00781D6D"/>
    <w:rsid w:val="00782615"/>
    <w:rsid w:val="007A19C7"/>
    <w:rsid w:val="007A3FF9"/>
    <w:rsid w:val="007C1B96"/>
    <w:rsid w:val="007D0373"/>
    <w:rsid w:val="007D7170"/>
    <w:rsid w:val="007D71C6"/>
    <w:rsid w:val="007E1791"/>
    <w:rsid w:val="007E78B8"/>
    <w:rsid w:val="007F13BC"/>
    <w:rsid w:val="00820735"/>
    <w:rsid w:val="008309C4"/>
    <w:rsid w:val="00830D48"/>
    <w:rsid w:val="008322A2"/>
    <w:rsid w:val="008366AB"/>
    <w:rsid w:val="00850FEF"/>
    <w:rsid w:val="00857A56"/>
    <w:rsid w:val="00861B4B"/>
    <w:rsid w:val="0086487E"/>
    <w:rsid w:val="00884788"/>
    <w:rsid w:val="00885BF9"/>
    <w:rsid w:val="00893649"/>
    <w:rsid w:val="00894A6B"/>
    <w:rsid w:val="00897E97"/>
    <w:rsid w:val="008B1A5C"/>
    <w:rsid w:val="008C54AC"/>
    <w:rsid w:val="008D1518"/>
    <w:rsid w:val="008D4C66"/>
    <w:rsid w:val="008E12C0"/>
    <w:rsid w:val="008F04F8"/>
    <w:rsid w:val="009028E7"/>
    <w:rsid w:val="00902EE9"/>
    <w:rsid w:val="00903698"/>
    <w:rsid w:val="00906F8F"/>
    <w:rsid w:val="0091391C"/>
    <w:rsid w:val="00925595"/>
    <w:rsid w:val="00932633"/>
    <w:rsid w:val="00936E93"/>
    <w:rsid w:val="00937A06"/>
    <w:rsid w:val="0094183B"/>
    <w:rsid w:val="0094588D"/>
    <w:rsid w:val="00946EF8"/>
    <w:rsid w:val="009552A1"/>
    <w:rsid w:val="0096307C"/>
    <w:rsid w:val="00963FEA"/>
    <w:rsid w:val="00967871"/>
    <w:rsid w:val="009700BE"/>
    <w:rsid w:val="00975100"/>
    <w:rsid w:val="009775CE"/>
    <w:rsid w:val="00980CAD"/>
    <w:rsid w:val="00986ABF"/>
    <w:rsid w:val="009933BF"/>
    <w:rsid w:val="009973FE"/>
    <w:rsid w:val="009A0515"/>
    <w:rsid w:val="009B5AE2"/>
    <w:rsid w:val="009B5DB3"/>
    <w:rsid w:val="009E71A5"/>
    <w:rsid w:val="009F5273"/>
    <w:rsid w:val="00A260EA"/>
    <w:rsid w:val="00A405AA"/>
    <w:rsid w:val="00A465C4"/>
    <w:rsid w:val="00A50999"/>
    <w:rsid w:val="00A52DDB"/>
    <w:rsid w:val="00A55483"/>
    <w:rsid w:val="00A61527"/>
    <w:rsid w:val="00A652A0"/>
    <w:rsid w:val="00A65BA1"/>
    <w:rsid w:val="00A7232F"/>
    <w:rsid w:val="00A75058"/>
    <w:rsid w:val="00A758A2"/>
    <w:rsid w:val="00A8705A"/>
    <w:rsid w:val="00A96ECD"/>
    <w:rsid w:val="00AA5358"/>
    <w:rsid w:val="00AC6736"/>
    <w:rsid w:val="00AC697D"/>
    <w:rsid w:val="00AE3E34"/>
    <w:rsid w:val="00AF442D"/>
    <w:rsid w:val="00B03629"/>
    <w:rsid w:val="00B11981"/>
    <w:rsid w:val="00B176C0"/>
    <w:rsid w:val="00B23564"/>
    <w:rsid w:val="00B34F09"/>
    <w:rsid w:val="00B50515"/>
    <w:rsid w:val="00B60015"/>
    <w:rsid w:val="00B616D0"/>
    <w:rsid w:val="00B63D77"/>
    <w:rsid w:val="00B66A75"/>
    <w:rsid w:val="00B7037A"/>
    <w:rsid w:val="00B732B2"/>
    <w:rsid w:val="00BA2FCD"/>
    <w:rsid w:val="00BB3D26"/>
    <w:rsid w:val="00BB49C7"/>
    <w:rsid w:val="00BB672A"/>
    <w:rsid w:val="00BC4D80"/>
    <w:rsid w:val="00BD33A9"/>
    <w:rsid w:val="00BD50D4"/>
    <w:rsid w:val="00BE2FBC"/>
    <w:rsid w:val="00BE5755"/>
    <w:rsid w:val="00BE58A7"/>
    <w:rsid w:val="00BE7442"/>
    <w:rsid w:val="00C01381"/>
    <w:rsid w:val="00C06F9A"/>
    <w:rsid w:val="00C140D2"/>
    <w:rsid w:val="00C2272D"/>
    <w:rsid w:val="00C30CEA"/>
    <w:rsid w:val="00C344CC"/>
    <w:rsid w:val="00C3608D"/>
    <w:rsid w:val="00C40837"/>
    <w:rsid w:val="00C544A2"/>
    <w:rsid w:val="00C73177"/>
    <w:rsid w:val="00C74C2B"/>
    <w:rsid w:val="00C7675D"/>
    <w:rsid w:val="00C80980"/>
    <w:rsid w:val="00C83CEB"/>
    <w:rsid w:val="00C84C4C"/>
    <w:rsid w:val="00C85B72"/>
    <w:rsid w:val="00C87287"/>
    <w:rsid w:val="00C914B6"/>
    <w:rsid w:val="00C978DB"/>
    <w:rsid w:val="00CA26C8"/>
    <w:rsid w:val="00CA4CCA"/>
    <w:rsid w:val="00CB1180"/>
    <w:rsid w:val="00CB47E2"/>
    <w:rsid w:val="00CB50DF"/>
    <w:rsid w:val="00CB5427"/>
    <w:rsid w:val="00CB566D"/>
    <w:rsid w:val="00CB7918"/>
    <w:rsid w:val="00CC06D8"/>
    <w:rsid w:val="00CC5900"/>
    <w:rsid w:val="00CC77EC"/>
    <w:rsid w:val="00CD003A"/>
    <w:rsid w:val="00CF0E3E"/>
    <w:rsid w:val="00D02EC5"/>
    <w:rsid w:val="00D0430A"/>
    <w:rsid w:val="00D05BA4"/>
    <w:rsid w:val="00D1233A"/>
    <w:rsid w:val="00D12397"/>
    <w:rsid w:val="00D15995"/>
    <w:rsid w:val="00D20F08"/>
    <w:rsid w:val="00D21A99"/>
    <w:rsid w:val="00D24FCD"/>
    <w:rsid w:val="00D33A94"/>
    <w:rsid w:val="00D35BEB"/>
    <w:rsid w:val="00D3670B"/>
    <w:rsid w:val="00D411CB"/>
    <w:rsid w:val="00D4421F"/>
    <w:rsid w:val="00D44D18"/>
    <w:rsid w:val="00D57938"/>
    <w:rsid w:val="00D626D2"/>
    <w:rsid w:val="00D64740"/>
    <w:rsid w:val="00D66A01"/>
    <w:rsid w:val="00D82590"/>
    <w:rsid w:val="00D96F41"/>
    <w:rsid w:val="00DA0422"/>
    <w:rsid w:val="00DA0A96"/>
    <w:rsid w:val="00DA4A0B"/>
    <w:rsid w:val="00DB310C"/>
    <w:rsid w:val="00DB5BD6"/>
    <w:rsid w:val="00DC079F"/>
    <w:rsid w:val="00DC6EC7"/>
    <w:rsid w:val="00DC7084"/>
    <w:rsid w:val="00DE29B9"/>
    <w:rsid w:val="00DF0E49"/>
    <w:rsid w:val="00DF12A7"/>
    <w:rsid w:val="00DF3109"/>
    <w:rsid w:val="00DF4331"/>
    <w:rsid w:val="00DF633F"/>
    <w:rsid w:val="00DF65C9"/>
    <w:rsid w:val="00E053B1"/>
    <w:rsid w:val="00E07F36"/>
    <w:rsid w:val="00E105CE"/>
    <w:rsid w:val="00E12A20"/>
    <w:rsid w:val="00E2491A"/>
    <w:rsid w:val="00E35CFB"/>
    <w:rsid w:val="00E41945"/>
    <w:rsid w:val="00E44C2D"/>
    <w:rsid w:val="00E45FF9"/>
    <w:rsid w:val="00E479A6"/>
    <w:rsid w:val="00E52A8C"/>
    <w:rsid w:val="00E52E2E"/>
    <w:rsid w:val="00E54F6E"/>
    <w:rsid w:val="00E56CD3"/>
    <w:rsid w:val="00E71D05"/>
    <w:rsid w:val="00E774F0"/>
    <w:rsid w:val="00E927A1"/>
    <w:rsid w:val="00E92986"/>
    <w:rsid w:val="00EA0FE6"/>
    <w:rsid w:val="00EA105A"/>
    <w:rsid w:val="00EA44A2"/>
    <w:rsid w:val="00EB6B8C"/>
    <w:rsid w:val="00ED0211"/>
    <w:rsid w:val="00ED7EB4"/>
    <w:rsid w:val="00EE08F3"/>
    <w:rsid w:val="00EF3BEF"/>
    <w:rsid w:val="00F045AD"/>
    <w:rsid w:val="00F05D55"/>
    <w:rsid w:val="00F06B4B"/>
    <w:rsid w:val="00F10486"/>
    <w:rsid w:val="00F112A8"/>
    <w:rsid w:val="00F120A9"/>
    <w:rsid w:val="00F15CFD"/>
    <w:rsid w:val="00F17BEE"/>
    <w:rsid w:val="00F20B9C"/>
    <w:rsid w:val="00F308E0"/>
    <w:rsid w:val="00F31E6A"/>
    <w:rsid w:val="00F32884"/>
    <w:rsid w:val="00F514D9"/>
    <w:rsid w:val="00F67E93"/>
    <w:rsid w:val="00F721F4"/>
    <w:rsid w:val="00FA1B17"/>
    <w:rsid w:val="00FA2816"/>
    <w:rsid w:val="00FB1AD7"/>
    <w:rsid w:val="00FB1E1B"/>
    <w:rsid w:val="00FB3834"/>
    <w:rsid w:val="00FB42B8"/>
    <w:rsid w:val="00FC0A78"/>
    <w:rsid w:val="00FC49B7"/>
    <w:rsid w:val="00FD215A"/>
    <w:rsid w:val="00FD4C7F"/>
    <w:rsid w:val="00FD610A"/>
    <w:rsid w:val="00FD7152"/>
    <w:rsid w:val="00FE019A"/>
    <w:rsid w:val="00FE0F65"/>
    <w:rsid w:val="00FF300C"/>
    <w:rsid w:val="00FF4B42"/>
    <w:rsid w:val="01A12019"/>
    <w:rsid w:val="01B65560"/>
    <w:rsid w:val="01C743BF"/>
    <w:rsid w:val="01EC34B4"/>
    <w:rsid w:val="01FC31C4"/>
    <w:rsid w:val="02E21C16"/>
    <w:rsid w:val="03180027"/>
    <w:rsid w:val="032A2D06"/>
    <w:rsid w:val="03635D70"/>
    <w:rsid w:val="03F84246"/>
    <w:rsid w:val="048266D7"/>
    <w:rsid w:val="061F4E76"/>
    <w:rsid w:val="07AC7120"/>
    <w:rsid w:val="07B0102C"/>
    <w:rsid w:val="080C25BB"/>
    <w:rsid w:val="088F4BA2"/>
    <w:rsid w:val="0897206E"/>
    <w:rsid w:val="08C64696"/>
    <w:rsid w:val="09097AD4"/>
    <w:rsid w:val="0946582A"/>
    <w:rsid w:val="094B5F6F"/>
    <w:rsid w:val="09AC44C3"/>
    <w:rsid w:val="09E64C3B"/>
    <w:rsid w:val="0A5D63A3"/>
    <w:rsid w:val="0ADB45BF"/>
    <w:rsid w:val="0B412AC0"/>
    <w:rsid w:val="0C066676"/>
    <w:rsid w:val="0D4E4B48"/>
    <w:rsid w:val="0D8568AB"/>
    <w:rsid w:val="0E3937BC"/>
    <w:rsid w:val="0F491064"/>
    <w:rsid w:val="0FAB2073"/>
    <w:rsid w:val="114C767B"/>
    <w:rsid w:val="116C7005"/>
    <w:rsid w:val="11AB1027"/>
    <w:rsid w:val="11D8706E"/>
    <w:rsid w:val="11F27BDC"/>
    <w:rsid w:val="12E30EA1"/>
    <w:rsid w:val="13024986"/>
    <w:rsid w:val="1340629E"/>
    <w:rsid w:val="14AE4673"/>
    <w:rsid w:val="15983B8B"/>
    <w:rsid w:val="15D96EF7"/>
    <w:rsid w:val="15E65A70"/>
    <w:rsid w:val="15F47EF6"/>
    <w:rsid w:val="161A71BC"/>
    <w:rsid w:val="167F4962"/>
    <w:rsid w:val="16FB130C"/>
    <w:rsid w:val="17021653"/>
    <w:rsid w:val="170A60F5"/>
    <w:rsid w:val="17990E60"/>
    <w:rsid w:val="17A612AC"/>
    <w:rsid w:val="17B912E9"/>
    <w:rsid w:val="17E75EB2"/>
    <w:rsid w:val="198B4C25"/>
    <w:rsid w:val="19960E50"/>
    <w:rsid w:val="19BE75A1"/>
    <w:rsid w:val="1A334104"/>
    <w:rsid w:val="1A876996"/>
    <w:rsid w:val="1B1B3ADA"/>
    <w:rsid w:val="1B3850B7"/>
    <w:rsid w:val="1B72134A"/>
    <w:rsid w:val="1BE66641"/>
    <w:rsid w:val="1C045805"/>
    <w:rsid w:val="1C9C71F6"/>
    <w:rsid w:val="1D3121D2"/>
    <w:rsid w:val="1D6331A1"/>
    <w:rsid w:val="1E36143A"/>
    <w:rsid w:val="1EFE5C6B"/>
    <w:rsid w:val="1F034A61"/>
    <w:rsid w:val="203B379E"/>
    <w:rsid w:val="205A6F2F"/>
    <w:rsid w:val="2222594C"/>
    <w:rsid w:val="222F10B4"/>
    <w:rsid w:val="22B060B0"/>
    <w:rsid w:val="22BB0DE9"/>
    <w:rsid w:val="23615EE4"/>
    <w:rsid w:val="23A7017A"/>
    <w:rsid w:val="23B107E6"/>
    <w:rsid w:val="241948DC"/>
    <w:rsid w:val="244D26DD"/>
    <w:rsid w:val="244F2494"/>
    <w:rsid w:val="254B7DED"/>
    <w:rsid w:val="26A96375"/>
    <w:rsid w:val="273E2186"/>
    <w:rsid w:val="275B6817"/>
    <w:rsid w:val="275F3FF6"/>
    <w:rsid w:val="28D23FA5"/>
    <w:rsid w:val="29495044"/>
    <w:rsid w:val="29681D84"/>
    <w:rsid w:val="2984677F"/>
    <w:rsid w:val="29AE429C"/>
    <w:rsid w:val="2AF062BA"/>
    <w:rsid w:val="2B0D4652"/>
    <w:rsid w:val="2BDB4BBD"/>
    <w:rsid w:val="2C2E75D6"/>
    <w:rsid w:val="2C5A575C"/>
    <w:rsid w:val="2D0C4EA0"/>
    <w:rsid w:val="2D2C71D6"/>
    <w:rsid w:val="2D5728B7"/>
    <w:rsid w:val="2DC84DB2"/>
    <w:rsid w:val="2EDF3282"/>
    <w:rsid w:val="2FC02F09"/>
    <w:rsid w:val="30171DBB"/>
    <w:rsid w:val="3028610A"/>
    <w:rsid w:val="30D57052"/>
    <w:rsid w:val="30F60052"/>
    <w:rsid w:val="31A71EF9"/>
    <w:rsid w:val="31B158A9"/>
    <w:rsid w:val="31BC086E"/>
    <w:rsid w:val="31ED30AD"/>
    <w:rsid w:val="32233263"/>
    <w:rsid w:val="325216B3"/>
    <w:rsid w:val="334866FD"/>
    <w:rsid w:val="33575701"/>
    <w:rsid w:val="33C04812"/>
    <w:rsid w:val="34262579"/>
    <w:rsid w:val="34C859D6"/>
    <w:rsid w:val="34F45E04"/>
    <w:rsid w:val="35270C2A"/>
    <w:rsid w:val="35691B4D"/>
    <w:rsid w:val="35AC4040"/>
    <w:rsid w:val="363F6AE6"/>
    <w:rsid w:val="365A475C"/>
    <w:rsid w:val="37950DB4"/>
    <w:rsid w:val="397E6C60"/>
    <w:rsid w:val="39906C3C"/>
    <w:rsid w:val="3A4F0B0A"/>
    <w:rsid w:val="3A741A54"/>
    <w:rsid w:val="3AD5190C"/>
    <w:rsid w:val="3BA6477D"/>
    <w:rsid w:val="3C874DD3"/>
    <w:rsid w:val="3C9F2FA3"/>
    <w:rsid w:val="3E28628A"/>
    <w:rsid w:val="3EC701D9"/>
    <w:rsid w:val="3EC75DF7"/>
    <w:rsid w:val="3F024F8A"/>
    <w:rsid w:val="3F6F7057"/>
    <w:rsid w:val="3FBA1E4C"/>
    <w:rsid w:val="3FD568BD"/>
    <w:rsid w:val="414160DB"/>
    <w:rsid w:val="42865500"/>
    <w:rsid w:val="42A96007"/>
    <w:rsid w:val="42C30F0E"/>
    <w:rsid w:val="43311AF7"/>
    <w:rsid w:val="4428744C"/>
    <w:rsid w:val="44334757"/>
    <w:rsid w:val="44363C15"/>
    <w:rsid w:val="45BB22B8"/>
    <w:rsid w:val="466A6F25"/>
    <w:rsid w:val="46896916"/>
    <w:rsid w:val="47E017AF"/>
    <w:rsid w:val="47F7479F"/>
    <w:rsid w:val="48791774"/>
    <w:rsid w:val="48B86096"/>
    <w:rsid w:val="49340E19"/>
    <w:rsid w:val="494A38CC"/>
    <w:rsid w:val="4B0C2396"/>
    <w:rsid w:val="4B503559"/>
    <w:rsid w:val="4C6D1221"/>
    <w:rsid w:val="4D8927FE"/>
    <w:rsid w:val="4DB548D3"/>
    <w:rsid w:val="4E487906"/>
    <w:rsid w:val="4E5D70DD"/>
    <w:rsid w:val="512D6991"/>
    <w:rsid w:val="521F12F2"/>
    <w:rsid w:val="52473C6D"/>
    <w:rsid w:val="52D45AF5"/>
    <w:rsid w:val="530F64ED"/>
    <w:rsid w:val="55064D13"/>
    <w:rsid w:val="558677C2"/>
    <w:rsid w:val="57756FCF"/>
    <w:rsid w:val="579147CF"/>
    <w:rsid w:val="57B1162E"/>
    <w:rsid w:val="57C87ECD"/>
    <w:rsid w:val="58840538"/>
    <w:rsid w:val="58C018DD"/>
    <w:rsid w:val="59166D2A"/>
    <w:rsid w:val="593039C1"/>
    <w:rsid w:val="594A0FE1"/>
    <w:rsid w:val="59D03B46"/>
    <w:rsid w:val="5A1405CE"/>
    <w:rsid w:val="5A9B545F"/>
    <w:rsid w:val="5B5133C9"/>
    <w:rsid w:val="5C4366F5"/>
    <w:rsid w:val="5C866A38"/>
    <w:rsid w:val="5C93780E"/>
    <w:rsid w:val="5CB732D9"/>
    <w:rsid w:val="5DF13BD4"/>
    <w:rsid w:val="5E2C3962"/>
    <w:rsid w:val="5E657B98"/>
    <w:rsid w:val="5ED3267D"/>
    <w:rsid w:val="5F0C4220"/>
    <w:rsid w:val="5F600C6B"/>
    <w:rsid w:val="61B53BF3"/>
    <w:rsid w:val="61EF3772"/>
    <w:rsid w:val="61F31664"/>
    <w:rsid w:val="62A57B9A"/>
    <w:rsid w:val="62AC2B92"/>
    <w:rsid w:val="62D51A71"/>
    <w:rsid w:val="64C51F39"/>
    <w:rsid w:val="64D70B69"/>
    <w:rsid w:val="64E73C12"/>
    <w:rsid w:val="6524757F"/>
    <w:rsid w:val="677C33C9"/>
    <w:rsid w:val="68902394"/>
    <w:rsid w:val="69E513F2"/>
    <w:rsid w:val="6B370887"/>
    <w:rsid w:val="6B75081F"/>
    <w:rsid w:val="6C614AC1"/>
    <w:rsid w:val="6CB45075"/>
    <w:rsid w:val="6D817A6D"/>
    <w:rsid w:val="6E340340"/>
    <w:rsid w:val="6E5545D7"/>
    <w:rsid w:val="6E56754F"/>
    <w:rsid w:val="6F5642E2"/>
    <w:rsid w:val="6F820F55"/>
    <w:rsid w:val="70E56549"/>
    <w:rsid w:val="711E199B"/>
    <w:rsid w:val="717F7B23"/>
    <w:rsid w:val="71884903"/>
    <w:rsid w:val="718B3C9A"/>
    <w:rsid w:val="721944A2"/>
    <w:rsid w:val="72395ED3"/>
    <w:rsid w:val="73260B14"/>
    <w:rsid w:val="734C30F7"/>
    <w:rsid w:val="73693B39"/>
    <w:rsid w:val="73F66B4E"/>
    <w:rsid w:val="7463777E"/>
    <w:rsid w:val="753B73AF"/>
    <w:rsid w:val="756126DC"/>
    <w:rsid w:val="769922DD"/>
    <w:rsid w:val="771437FE"/>
    <w:rsid w:val="77395E95"/>
    <w:rsid w:val="775E43C3"/>
    <w:rsid w:val="77831297"/>
    <w:rsid w:val="785E5855"/>
    <w:rsid w:val="78CD37E0"/>
    <w:rsid w:val="78DE7213"/>
    <w:rsid w:val="790C7D6B"/>
    <w:rsid w:val="7934740A"/>
    <w:rsid w:val="79D5199B"/>
    <w:rsid w:val="7A1758C4"/>
    <w:rsid w:val="7B005F95"/>
    <w:rsid w:val="7BB75FC5"/>
    <w:rsid w:val="7BDE4FE1"/>
    <w:rsid w:val="7C332AEF"/>
    <w:rsid w:val="7C356139"/>
    <w:rsid w:val="7D351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F780482"/>
  <w15:docId w15:val="{3D9E381E-D8FA-4A37-B195-63824CD62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rFonts w:eastAsiaTheme="minorEastAsia" w:cstheme="minorBidi"/>
      <w:kern w:val="2"/>
      <w:sz w:val="24"/>
      <w:szCs w:val="22"/>
    </w:rPr>
  </w:style>
  <w:style w:type="paragraph" w:styleId="1">
    <w:name w:val="heading 1"/>
    <w:basedOn w:val="a"/>
    <w:next w:val="a"/>
    <w:qFormat/>
    <w:pPr>
      <w:keepNext/>
      <w:keepLines/>
      <w:spacing w:before="240" w:after="240"/>
      <w:outlineLvl w:val="0"/>
    </w:pPr>
    <w:rPr>
      <w:rFonts w:eastAsia="宋体"/>
      <w:b/>
      <w:bCs/>
      <w:kern w:val="44"/>
      <w:sz w:val="28"/>
      <w:szCs w:val="44"/>
    </w:rPr>
  </w:style>
  <w:style w:type="paragraph" w:styleId="2">
    <w:name w:val="heading 2"/>
    <w:basedOn w:val="a"/>
    <w:next w:val="a"/>
    <w:link w:val="2Char"/>
    <w:unhideWhenUsed/>
    <w:qFormat/>
    <w:pPr>
      <w:keepNext/>
      <w:keepLines/>
      <w:spacing w:beforeLines="50" w:afterLines="50"/>
      <w:outlineLvl w:val="1"/>
    </w:pPr>
    <w:rPr>
      <w:rFonts w:eastAsiaTheme="majorEastAsia" w:cstheme="majorBidi"/>
      <w:b/>
      <w:bCs/>
      <w:szCs w:val="32"/>
    </w:rPr>
  </w:style>
  <w:style w:type="paragraph" w:styleId="3">
    <w:name w:val="heading 3"/>
    <w:basedOn w:val="a"/>
    <w:next w:val="a"/>
    <w:unhideWhenUsed/>
    <w:qFormat/>
    <w:pPr>
      <w:keepNext/>
      <w:keepLines/>
      <w:spacing w:beforeLines="50" w:afterLines="50"/>
      <w:outlineLvl w:val="2"/>
    </w:pPr>
    <w:rPr>
      <w:rFonts w:eastAsia="宋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qFormat/>
    <w:rPr>
      <w:b/>
      <w:bCs/>
    </w:rPr>
  </w:style>
  <w:style w:type="paragraph" w:styleId="a4">
    <w:name w:val="annotation text"/>
    <w:basedOn w:val="a"/>
    <w:link w:val="Char0"/>
    <w:qFormat/>
    <w:pPr>
      <w:jc w:val="left"/>
    </w:pPr>
  </w:style>
  <w:style w:type="paragraph" w:styleId="a5">
    <w:name w:val="Body Text"/>
    <w:basedOn w:val="a"/>
    <w:qFormat/>
    <w:pPr>
      <w:spacing w:after="120"/>
    </w:pPr>
  </w:style>
  <w:style w:type="paragraph" w:styleId="a6">
    <w:name w:val="Body Text Indent"/>
    <w:basedOn w:val="a"/>
    <w:qFormat/>
    <w:pPr>
      <w:ind w:left="638" w:firstLine="640"/>
    </w:pPr>
    <w:rPr>
      <w:rFonts w:ascii="方正仿宋简体" w:eastAsia="方正仿宋简体"/>
      <w:bCs/>
      <w:color w:val="000000"/>
      <w:sz w:val="32"/>
      <w:szCs w:val="32"/>
    </w:rPr>
  </w:style>
  <w:style w:type="paragraph" w:styleId="30">
    <w:name w:val="toc 3"/>
    <w:basedOn w:val="a"/>
    <w:next w:val="a"/>
    <w:uiPriority w:val="39"/>
    <w:qFormat/>
    <w:pPr>
      <w:ind w:leftChars="400" w:left="840"/>
    </w:pPr>
  </w:style>
  <w:style w:type="paragraph" w:styleId="a7">
    <w:name w:val="Balloon Text"/>
    <w:basedOn w:val="a"/>
    <w:link w:val="Char1"/>
    <w:qFormat/>
    <w:pPr>
      <w:spacing w:line="240" w:lineRule="auto"/>
    </w:pPr>
    <w:rPr>
      <w:sz w:val="18"/>
      <w:szCs w:val="18"/>
    </w:rPr>
  </w:style>
  <w:style w:type="paragraph" w:styleId="a8">
    <w:name w:val="footer"/>
    <w:basedOn w:val="a"/>
    <w:link w:val="Char2"/>
    <w:uiPriority w:val="99"/>
    <w:qFormat/>
    <w:pPr>
      <w:tabs>
        <w:tab w:val="center" w:pos="4153"/>
        <w:tab w:val="right" w:pos="8306"/>
      </w:tabs>
      <w:snapToGrid w:val="0"/>
      <w:jc w:val="left"/>
    </w:pPr>
    <w:rPr>
      <w:sz w:val="18"/>
      <w:szCs w:val="18"/>
    </w:rPr>
  </w:style>
  <w:style w:type="paragraph" w:styleId="a9">
    <w:name w:val="header"/>
    <w:basedOn w:val="a"/>
    <w:link w:val="Char3"/>
    <w:qFormat/>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character" w:styleId="aa">
    <w:name w:val="annotation reference"/>
    <w:basedOn w:val="a0"/>
    <w:qFormat/>
    <w:rPr>
      <w:sz w:val="21"/>
      <w:szCs w:val="21"/>
    </w:rPr>
  </w:style>
  <w:style w:type="table" w:styleId="ab">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31">
    <w:name w:val="font31"/>
    <w:basedOn w:val="a0"/>
    <w:qFormat/>
    <w:rPr>
      <w:rFonts w:ascii="宋体" w:eastAsia="宋体" w:hAnsi="宋体" w:cs="宋体" w:hint="eastAsia"/>
      <w:color w:val="000000"/>
      <w:sz w:val="20"/>
      <w:szCs w:val="20"/>
      <w:u w:val="none"/>
    </w:rPr>
  </w:style>
  <w:style w:type="character" w:customStyle="1" w:styleId="font11">
    <w:name w:val="font11"/>
    <w:basedOn w:val="a0"/>
    <w:qFormat/>
    <w:rPr>
      <w:rFonts w:ascii="宋体" w:eastAsia="宋体" w:hAnsi="宋体" w:cs="宋体" w:hint="eastAsia"/>
      <w:color w:val="000000"/>
      <w:sz w:val="20"/>
      <w:szCs w:val="20"/>
      <w:u w:val="none"/>
    </w:rPr>
  </w:style>
  <w:style w:type="character" w:customStyle="1" w:styleId="font01">
    <w:name w:val="font01"/>
    <w:basedOn w:val="a0"/>
    <w:qFormat/>
    <w:rPr>
      <w:rFonts w:ascii="Times New Roman" w:hAnsi="Times New Roman" w:cs="Times New Roman" w:hint="default"/>
      <w:color w:val="000000"/>
      <w:sz w:val="20"/>
      <w:szCs w:val="20"/>
      <w:u w:val="none"/>
    </w:rPr>
  </w:style>
  <w:style w:type="character" w:customStyle="1" w:styleId="font21">
    <w:name w:val="font21"/>
    <w:basedOn w:val="a0"/>
    <w:qFormat/>
    <w:rPr>
      <w:rFonts w:ascii="Times New Roman" w:hAnsi="Times New Roman" w:cs="Times New Roman" w:hint="default"/>
      <w:color w:val="000000"/>
      <w:sz w:val="20"/>
      <w:szCs w:val="20"/>
      <w:u w:val="none"/>
    </w:rPr>
  </w:style>
  <w:style w:type="character" w:customStyle="1" w:styleId="Char3">
    <w:name w:val="页眉 Char"/>
    <w:basedOn w:val="a0"/>
    <w:link w:val="a9"/>
    <w:qFormat/>
    <w:rPr>
      <w:rFonts w:eastAsiaTheme="minorEastAsia" w:cstheme="minorBidi"/>
      <w:kern w:val="2"/>
      <w:sz w:val="18"/>
      <w:szCs w:val="18"/>
    </w:rPr>
  </w:style>
  <w:style w:type="paragraph" w:styleId="ac">
    <w:name w:val="List Paragraph"/>
    <w:basedOn w:val="a"/>
    <w:uiPriority w:val="34"/>
    <w:qFormat/>
    <w:pPr>
      <w:ind w:firstLineChars="200" w:firstLine="420"/>
    </w:pPr>
  </w:style>
  <w:style w:type="character" w:customStyle="1" w:styleId="Char0">
    <w:name w:val="批注文字 Char"/>
    <w:basedOn w:val="a0"/>
    <w:link w:val="a4"/>
    <w:qFormat/>
    <w:rPr>
      <w:rFonts w:eastAsiaTheme="minorEastAsia" w:cstheme="minorBidi"/>
      <w:kern w:val="2"/>
      <w:sz w:val="24"/>
      <w:szCs w:val="22"/>
    </w:rPr>
  </w:style>
  <w:style w:type="character" w:customStyle="1" w:styleId="Char">
    <w:name w:val="批注主题 Char"/>
    <w:basedOn w:val="Char0"/>
    <w:link w:val="a3"/>
    <w:qFormat/>
    <w:rPr>
      <w:rFonts w:eastAsiaTheme="minorEastAsia" w:cstheme="minorBidi"/>
      <w:b/>
      <w:bCs/>
      <w:kern w:val="2"/>
      <w:sz w:val="24"/>
      <w:szCs w:val="22"/>
    </w:rPr>
  </w:style>
  <w:style w:type="character" w:customStyle="1" w:styleId="Char1">
    <w:name w:val="批注框文本 Char"/>
    <w:basedOn w:val="a0"/>
    <w:link w:val="a7"/>
    <w:qFormat/>
    <w:rPr>
      <w:rFonts w:eastAsiaTheme="minorEastAsia" w:cstheme="minorBidi"/>
      <w:kern w:val="2"/>
      <w:sz w:val="18"/>
      <w:szCs w:val="18"/>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character" w:customStyle="1" w:styleId="11">
    <w:name w:val="不明显参考1"/>
    <w:qFormat/>
    <w:rPr>
      <w:rFonts w:hint="default"/>
      <w:smallCaps/>
      <w:color w:val="C0504D"/>
      <w:u w:val="single"/>
    </w:rPr>
  </w:style>
  <w:style w:type="paragraph" w:customStyle="1" w:styleId="ad">
    <w:name w:val="段"/>
    <w:qFormat/>
    <w:pPr>
      <w:autoSpaceDE w:val="0"/>
      <w:autoSpaceDN w:val="0"/>
      <w:ind w:firstLineChars="200" w:firstLine="200"/>
      <w:jc w:val="both"/>
    </w:pPr>
    <w:rPr>
      <w:rFonts w:ascii="宋体" w:hint="eastAsia"/>
      <w:sz w:val="21"/>
      <w:szCs w:val="22"/>
    </w:rPr>
  </w:style>
  <w:style w:type="character" w:customStyle="1" w:styleId="12">
    <w:name w:val="页码1"/>
    <w:qFormat/>
    <w:rPr>
      <w:rFonts w:ascii="Times New Roman" w:hint="default"/>
    </w:rPr>
  </w:style>
  <w:style w:type="character" w:customStyle="1" w:styleId="Char2">
    <w:name w:val="页脚 Char"/>
    <w:basedOn w:val="a0"/>
    <w:link w:val="a8"/>
    <w:uiPriority w:val="99"/>
    <w:qFormat/>
    <w:rPr>
      <w:rFonts w:eastAsiaTheme="minorEastAsia" w:cstheme="minorBidi"/>
      <w:kern w:val="2"/>
      <w:sz w:val="18"/>
      <w:szCs w:val="18"/>
    </w:rPr>
  </w:style>
  <w:style w:type="character" w:customStyle="1" w:styleId="2Char">
    <w:name w:val="标题 2 Char"/>
    <w:link w:val="2"/>
    <w:qFormat/>
    <w:rPr>
      <w:rFonts w:eastAsiaTheme="majorEastAsia" w:cstheme="majorBidi"/>
      <w:b/>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87D8B9-E18A-41ED-AFEB-17689913E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11</Pages>
  <Words>920</Words>
  <Characters>5248</Characters>
  <Application>Microsoft Office Word</Application>
  <DocSecurity>0</DocSecurity>
  <Lines>43</Lines>
  <Paragraphs>12</Paragraphs>
  <ScaleCrop>false</ScaleCrop>
  <Company/>
  <LinksUpToDate>false</LinksUpToDate>
  <CharactersWithSpaces>6156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103</cp:revision>
  <cp:lastPrinted>2018-07-31T13:30:00Z</cp:lastPrinted>
  <dcterms:created xsi:type="dcterms:W3CDTF">2018-05-27T12:55:00Z</dcterms:created>
  <dcterms:modified xsi:type="dcterms:W3CDTF">2019-08-14T03:17:00Z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