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f58ac23f2a443a" 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mc:Ignorable="w14">
  <w:body>
    <w:p w14:paraId="00100000" w14:textId="00100001">
      <w:pPr>
        <w:pStyle w:val="Heading1"/>
      </w:pPr>
      <w:r>
        <w:rPr/>
        <w:t xml:space="preserve">1ONE 模型调用字段全览</w:t>
      </w:r>
    </w:p>
    <w:p w14:paraId="00100002" w14:textId="00100003">
      <w:pPr>
        <w:pStyle w:val="Heading2"/>
      </w:pPr>
      <w:r>
        <w:rPr/>
        <w:t xml:space="preserve">一、Provider 配置字段（IProvider）</w:t>
      </w:r>
    </w:p>
    <w:p w14:paraId="00100004" w14:textId="00100005">
      <w:pPr/>
      <w:r>
        <w:rPr/>
        <w:t xml:space="preserve">存储在 model.config 中，每个供应商一条记录，TProviderWithModel 是 IProvider 去掉 model[] 后加上 useModel 的运行时形态。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shd w:val="clear" w:fill="D9E1F2"/>
          </w:tcPr>
          <w:p w14:paraId="00100006" w14:textId="0010000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字段名</w:t>
            </w:r>
          </w:p>
        </w:tc>
        <w:tc>
          <w:tcPr>
            <w:shd w:val="clear" w:fill="D9E1F2"/>
          </w:tcPr>
          <w:p w14:paraId="00100008" w14:textId="0010000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类型</w:t>
            </w:r>
          </w:p>
        </w:tc>
        <w:tc>
          <w:tcPr>
            <w:shd w:val="clear" w:fill="D9E1F2"/>
          </w:tcPr>
          <w:p w14:paraId="0010000A" w14:textId="0010000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说明</w:t>
            </w:r>
          </w:p>
        </w:tc>
        <w:tc>
          <w:tcPr>
            <w:shd w:val="clear" w:fill="D9E1F2"/>
          </w:tcPr>
          <w:p w14:paraId="0010000C" w14:textId="0010000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备注</w:t>
            </w:r>
          </w:p>
        </w:tc>
      </w:tr>
      <w:tr>
        <w:tc>
          <w:tcPr/>
          <w:p w14:paraId="0010000E" w14:textId="0010000F">
            <w:pPr>
              <w:spacing w:after="0" w:line="240" w:lineRule="auto"/>
            </w:pPr>
            <w:r>
              <w:t xml:space="preserve">id</w:t>
            </w:r>
          </w:p>
        </w:tc>
        <w:tc>
          <w:tcPr/>
          <w:p w14:paraId="00100010" w14:textId="00100011">
            <w:pPr>
              <w:spacing w:after="0" w:line="240" w:lineRule="auto"/>
            </w:pPr>
            <w:r>
              <w:t xml:space="preserve">string</w:t>
            </w:r>
          </w:p>
        </w:tc>
        <w:tc>
          <w:tcPr/>
          <w:p w14:paraId="00100012" w14:textId="00100013">
            <w:pPr>
              <w:spacing w:after="0" w:line="240" w:lineRule="auto"/>
            </w:pPr>
            <w:r>
              <w:t xml:space="preserve">供应商唯一标识</w:t>
            </w:r>
          </w:p>
        </w:tc>
        <w:tc>
          <w:tcPr/>
          <w:p w14:paraId="00100014" w14:textId="00100015">
            <w:pPr>
              <w:spacing w:after="0" w:line="240" w:lineRule="auto"/>
            </w:pPr>
            <w:r>
              <w:t xml:space="preserve">UUID</w:t>
            </w:r>
          </w:p>
        </w:tc>
      </w:tr>
      <w:tr>
        <w:tc>
          <w:tcPr/>
          <w:p w14:paraId="00100016" w14:textId="00100017">
            <w:pPr>
              <w:spacing w:after="0" w:line="240" w:lineRule="auto"/>
            </w:pPr>
            <w:r>
              <w:t xml:space="preserve">base_url</w:t>
            </w:r>
          </w:p>
        </w:tc>
        <w:tc>
          <w:tcPr/>
          <w:p w14:paraId="00100018" w14:textId="00100019">
            <w:pPr>
              <w:spacing w:after="0" w:line="240" w:lineRule="auto"/>
            </w:pPr>
            <w:r>
              <w:t xml:space="preserve">string</w:t>
            </w:r>
          </w:p>
        </w:tc>
        <w:tc>
          <w:tcPr/>
          <w:p w14:paraId="0010001A" w14:textId="0010001B">
            <w:pPr>
              <w:spacing w:after="0" w:line="240" w:lineRule="auto"/>
            </w:pPr>
            <w:r>
              <w:t xml:space="preserve">API 基础地址，如 https://api.openai.com/v1</w:t>
            </w:r>
          </w:p>
        </w:tc>
        <w:tc>
          <w:tcPr/>
          <w:p w14:paraId="0010001C" w14:textId="0010001D">
            <w:pPr>
              <w:spacing w:after="0" w:line="240" w:lineRule="auto"/>
            </w:pPr>
            <w:r>
              <w:t xml:space="preserve">必填</w:t>
            </w:r>
          </w:p>
        </w:tc>
      </w:tr>
      <w:tr>
        <w:tc>
          <w:tcPr/>
          <w:p w14:paraId="0010001E" w14:textId="0010001F">
            <w:pPr>
              <w:spacing w:after="0" w:line="240" w:lineRule="auto"/>
            </w:pPr>
            <w:r>
              <w:t xml:space="preserve">api_key</w:t>
            </w:r>
          </w:p>
        </w:tc>
        <w:tc>
          <w:tcPr/>
          <w:p w14:paraId="00100020" w14:textId="00100021">
            <w:pPr>
              <w:spacing w:after="0" w:line="240" w:lineRule="auto"/>
            </w:pPr>
            <w:r>
              <w:t xml:space="preserve">string</w:t>
            </w:r>
          </w:p>
        </w:tc>
        <w:tc>
          <w:tcPr/>
          <w:p w14:paraId="00100022" w14:textId="00100023">
            <w:pPr>
              <w:spacing w:after="0" w:line="240" w:lineRule="auto"/>
            </w:pPr>
            <w:r>
              <w:t xml:space="preserve">API 密钥</w:t>
            </w:r>
          </w:p>
        </w:tc>
        <w:tc>
          <w:tcPr/>
          <w:p w14:paraId="00100024" w14:textId="00100025">
            <w:pPr>
              <w:spacing w:after="0" w:line="240" w:lineRule="auto"/>
            </w:pPr>
            <w:r>
              <w:t xml:space="preserve">必填</w:t>
            </w:r>
          </w:p>
        </w:tc>
      </w:tr>
      <w:tr>
        <w:tc>
          <w:tcPr/>
          <w:p w14:paraId="00100026" w14:textId="00100027">
            <w:pPr>
              <w:spacing w:after="0" w:line="240" w:lineRule="auto"/>
            </w:pPr>
            <w:r>
              <w:t xml:space="preserve">platform</w:t>
            </w:r>
          </w:p>
        </w:tc>
        <w:tc>
          <w:tcPr/>
          <w:p w14:paraId="00100028" w14:textId="00100029">
            <w:pPr>
              <w:spacing w:after="0" w:line="240" w:lineRule="auto"/>
            </w:pPr>
            <w:r>
              <w:t xml:space="preserve">string</w:t>
            </w:r>
          </w:p>
        </w:tc>
        <w:tc>
          <w:tcPr/>
          <w:p w14:paraId="0010002A" w14:textId="0010002B">
            <w:pPr>
              <w:spacing w:after="0" w:line="240" w:lineRule="auto"/>
            </w:pPr>
            <w:r>
              <w:t xml:space="preserve">供应商平台类型</w:t>
            </w:r>
          </w:p>
        </w:tc>
        <w:tc>
          <w:tcPr/>
          <w:p w14:paraId="0010002C" w14:textId="0010002D">
            <w:pPr>
              <w:spacing w:after="0" w:line="240" w:lineRule="auto"/>
            </w:pPr>
            <w:r>
              <w:t xml:space="preserve">openai / anthropic / gemini / bedrock / new-api / aionrs-openai 等</w:t>
            </w:r>
          </w:p>
        </w:tc>
      </w:tr>
      <w:tr>
        <w:tc>
          <w:tcPr/>
          <w:p w14:paraId="0010002E" w14:textId="0010002F">
            <w:pPr>
              <w:spacing w:after="0" w:line="240" w:lineRule="auto"/>
            </w:pPr>
            <w:r>
              <w:t xml:space="preserve">authType</w:t>
            </w:r>
          </w:p>
        </w:tc>
        <w:tc>
          <w:tcPr/>
          <w:p w14:paraId="00100030" w14:textId="00100031">
            <w:pPr>
              <w:spacing w:after="0" w:line="240" w:lineRule="auto"/>
            </w:pPr>
            <w:r>
              <w:t xml:space="preserve">string</w:t>
            </w:r>
          </w:p>
        </w:tc>
        <w:tc>
          <w:tcPr/>
          <w:p w14:paraId="00100032" w14:textId="00100033">
            <w:pPr>
              <w:spacing w:after="0" w:line="240" w:lineRule="auto"/>
            </w:pPr>
            <w:r>
              <w:t xml:space="preserve">鉴权方式</w:t>
            </w:r>
          </w:p>
        </w:tc>
        <w:tc>
          <w:tcPr/>
          <w:p w14:paraId="00100034" w14:textId="00100035">
            <w:pPr>
              <w:spacing w:after="0" w:line="240" w:lineRule="auto"/>
            </w:pPr>
            <w:r>
              <w:t xml:space="preserve">bearer（默认）/ openai-completions / x-api-key / google-auth</w:t>
            </w:r>
          </w:p>
        </w:tc>
      </w:tr>
      <w:tr>
        <w:tc>
          <w:tcPr/>
          <w:p w14:paraId="00100036" w14:textId="00100037">
            <w:pPr>
              <w:spacing w:after="0" w:line="240" w:lineRule="auto"/>
            </w:pPr>
            <w:r>
              <w:t xml:space="preserve">model[]</w:t>
            </w:r>
          </w:p>
        </w:tc>
        <w:tc>
          <w:tcPr/>
          <w:p w14:paraId="00100038" w14:textId="00100039">
            <w:pPr>
              <w:spacing w:after="0" w:line="240" w:lineRule="auto"/>
            </w:pPr>
            <w:r>
              <w:t xml:space="preserve">string[]</w:t>
            </w:r>
          </w:p>
        </w:tc>
        <w:tc>
          <w:tcPr/>
          <w:p w14:paraId="0010003A" w14:textId="0010003B">
            <w:pPr>
              <w:spacing w:after="0" w:line="240" w:lineRule="auto"/>
            </w:pPr>
            <w:r>
              <w:t xml:space="preserve">该供应商下所有可用模型 ID 列表</w:t>
            </w:r>
          </w:p>
        </w:tc>
        <w:tc>
          <w:tcPr/>
          <w:p w14:paraId="0010003C" w14:textId="0010003D"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/>
          <w:p w14:paraId="0010003E" w14:textId="0010003F">
            <w:pPr>
              <w:spacing w:after="0" w:line="240" w:lineRule="auto"/>
            </w:pPr>
            <w:r>
              <w:t xml:space="preserve">useModel</w:t>
            </w:r>
          </w:p>
        </w:tc>
        <w:tc>
          <w:tcPr/>
          <w:p w14:paraId="00100040" w14:textId="00100041">
            <w:pPr>
              <w:spacing w:after="0" w:line="240" w:lineRule="auto"/>
            </w:pPr>
            <w:r>
              <w:t xml:space="preserve">string</w:t>
            </w:r>
          </w:p>
        </w:tc>
        <w:tc>
          <w:tcPr/>
          <w:p w14:paraId="00100042" w14:textId="00100043">
            <w:pPr>
              <w:spacing w:after="0" w:line="240" w:lineRule="auto"/>
            </w:pPr>
            <w:r>
              <w:t xml:space="preserve">当前会话实际使用的模型 ID（运行时字段）</w:t>
            </w:r>
          </w:p>
        </w:tc>
        <w:tc>
          <w:tcPr/>
          <w:p w14:paraId="00100044" w14:textId="00100045">
            <w:pPr>
              <w:spacing w:after="0" w:line="240" w:lineRule="auto"/>
            </w:pPr>
            <w:r>
              <w:t xml:space="preserve">TProviderWithModel 独有</w:t>
            </w:r>
          </w:p>
        </w:tc>
      </w:tr>
      <w:tr>
        <w:tc>
          <w:tcPr/>
          <w:p w14:paraId="00100046" w14:textId="00100047">
            <w:pPr>
              <w:spacing w:after="0" w:line="240" w:lineRule="auto"/>
            </w:pPr>
            <w:r>
              <w:t xml:space="preserve">name</w:t>
            </w:r>
          </w:p>
        </w:tc>
        <w:tc>
          <w:tcPr/>
          <w:p w14:paraId="00100048" w14:textId="00100049">
            <w:pPr>
              <w:spacing w:after="0" w:line="240" w:lineRule="auto"/>
            </w:pPr>
            <w:r>
              <w:t xml:space="preserve">string</w:t>
            </w:r>
          </w:p>
        </w:tc>
        <w:tc>
          <w:tcPr/>
          <w:p w14:paraId="0010004A" w14:textId="0010004B">
            <w:pPr>
              <w:spacing w:after="0" w:line="240" w:lineRule="auto"/>
            </w:pPr>
            <w:r>
              <w:t xml:space="preserve">显示名称</w:t>
            </w:r>
          </w:p>
        </w:tc>
        <w:tc>
          <w:tcPr/>
          <w:p w14:paraId="0010004C" w14:textId="0010004D"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/>
          <w:p w14:paraId="0010004E" w14:textId="0010004F">
            <w:pPr>
              <w:spacing w:after="0" w:line="240" w:lineRule="auto"/>
            </w:pPr>
            <w:r>
              <w:t xml:space="preserve">bedrockRegion</w:t>
            </w:r>
          </w:p>
        </w:tc>
        <w:tc>
          <w:tcPr/>
          <w:p w14:paraId="00100050" w14:textId="00100051">
            <w:pPr>
              <w:spacing w:after="0" w:line="240" w:lineRule="auto"/>
            </w:pPr>
            <w:r>
              <w:t xml:space="preserve">string?</w:t>
            </w:r>
          </w:p>
        </w:tc>
        <w:tc>
          <w:tcPr/>
          <w:p w14:paraId="00100052" w14:textId="00100053">
            <w:pPr>
              <w:spacing w:after="0" w:line="240" w:lineRule="auto"/>
            </w:pPr>
            <w:r>
              <w:t xml:space="preserve">AWS Bedrock 地区</w:t>
            </w:r>
          </w:p>
        </w:tc>
        <w:tc>
          <w:tcPr/>
          <w:p w14:paraId="00100054" w14:textId="00100055">
            <w:pPr>
              <w:spacing w:after="0" w:line="240" w:lineRule="auto"/>
            </w:pPr>
            <w:r>
              <w:t xml:space="preserve">仅 bedrock</w:t>
            </w:r>
          </w:p>
        </w:tc>
      </w:tr>
      <w:tr>
        <w:tc>
          <w:tcPr/>
          <w:p w14:paraId="00100056" w14:textId="00100057">
            <w:pPr>
              <w:spacing w:after="0" w:line="240" w:lineRule="auto"/>
            </w:pPr>
            <w:r>
              <w:t xml:space="preserve">bedrockAccessKeyId</w:t>
            </w:r>
          </w:p>
        </w:tc>
        <w:tc>
          <w:tcPr/>
          <w:p w14:paraId="00100058" w14:textId="00100059">
            <w:pPr>
              <w:spacing w:after="0" w:line="240" w:lineRule="auto"/>
            </w:pPr>
            <w:r>
              <w:t xml:space="preserve">string?</w:t>
            </w:r>
          </w:p>
        </w:tc>
        <w:tc>
          <w:tcPr/>
          <w:p w14:paraId="0010005A" w14:textId="0010005B">
            <w:pPr>
              <w:spacing w:after="0" w:line="240" w:lineRule="auto"/>
            </w:pPr>
            <w:r>
              <w:t xml:space="preserve">AWS Access Key ID</w:t>
            </w:r>
          </w:p>
        </w:tc>
        <w:tc>
          <w:tcPr/>
          <w:p w14:paraId="0010005C" w14:textId="0010005D">
            <w:pPr>
              <w:spacing w:after="0" w:line="240" w:lineRule="auto"/>
            </w:pPr>
            <w:r>
              <w:t xml:space="preserve">仅 bedrock</w:t>
            </w:r>
          </w:p>
        </w:tc>
      </w:tr>
      <w:tr>
        <w:tc>
          <w:tcPr/>
          <w:p w14:paraId="0010005E" w14:textId="0010005F">
            <w:pPr>
              <w:spacing w:after="0" w:line="240" w:lineRule="auto"/>
            </w:pPr>
            <w:r>
              <w:t xml:space="preserve">bedrockSecretAccessKey</w:t>
            </w:r>
          </w:p>
        </w:tc>
        <w:tc>
          <w:tcPr/>
          <w:p w14:paraId="00100060" w14:textId="00100061">
            <w:pPr>
              <w:spacing w:after="0" w:line="240" w:lineRule="auto"/>
            </w:pPr>
            <w:r>
              <w:t xml:space="preserve">string?</w:t>
            </w:r>
          </w:p>
        </w:tc>
        <w:tc>
          <w:tcPr/>
          <w:p w14:paraId="00100062" w14:textId="00100063">
            <w:pPr>
              <w:spacing w:after="0" w:line="240" w:lineRule="auto"/>
            </w:pPr>
            <w:r>
              <w:t xml:space="preserve">AWS Secret Access Key</w:t>
            </w:r>
          </w:p>
        </w:tc>
        <w:tc>
          <w:tcPr/>
          <w:p w14:paraId="00100064" w14:textId="00100065">
            <w:pPr>
              <w:spacing w:after="0" w:line="240" w:lineRule="auto"/>
            </w:pPr>
            <w:r>
              <w:t xml:space="preserve">仅 bedrock</w:t>
            </w:r>
          </w:p>
        </w:tc>
      </w:tr>
      <w:tr>
        <w:tc>
          <w:tcPr/>
          <w:p w14:paraId="00100066" w14:textId="00100067">
            <w:pPr>
              <w:spacing w:after="0" w:line="240" w:lineRule="auto"/>
            </w:pPr>
            <w:r>
              <w:t xml:space="preserve">googleAuthClientId</w:t>
            </w:r>
          </w:p>
        </w:tc>
        <w:tc>
          <w:tcPr/>
          <w:p w14:paraId="00100068" w14:textId="00100069">
            <w:pPr>
              <w:spacing w:after="0" w:line="240" w:lineRule="auto"/>
            </w:pPr>
            <w:r>
              <w:t xml:space="preserve">string?</w:t>
            </w:r>
          </w:p>
        </w:tc>
        <w:tc>
          <w:tcPr/>
          <w:p w14:paraId="0010006A" w14:textId="0010006B">
            <w:pPr>
              <w:spacing w:after="0" w:line="240" w:lineRule="auto"/>
            </w:pPr>
            <w:r>
              <w:t xml:space="preserve">Google OAuth 客户端 ID</w:t>
            </w:r>
          </w:p>
        </w:tc>
        <w:tc>
          <w:tcPr/>
          <w:p w14:paraId="0010006C" w14:textId="0010006D">
            <w:pPr>
              <w:spacing w:after="0" w:line="240" w:lineRule="auto"/>
            </w:pPr>
            <w:r>
              <w:t xml:space="preserve">仅 google-auth</w:t>
            </w:r>
          </w:p>
        </w:tc>
      </w:tr>
      <w:tr>
        <w:tc>
          <w:tcPr/>
          <w:p w14:paraId="0010006E" w14:textId="0010006F">
            <w:pPr>
              <w:spacing w:after="0" w:line="240" w:lineRule="auto"/>
            </w:pPr>
            <w:r>
              <w:t xml:space="preserve">googleAuthClientSecret</w:t>
            </w:r>
          </w:p>
        </w:tc>
        <w:tc>
          <w:tcPr/>
          <w:p w14:paraId="00100070" w14:textId="00100071">
            <w:pPr>
              <w:spacing w:after="0" w:line="240" w:lineRule="auto"/>
            </w:pPr>
            <w:r>
              <w:t xml:space="preserve">string?</w:t>
            </w:r>
          </w:p>
        </w:tc>
        <w:tc>
          <w:tcPr/>
          <w:p w14:paraId="00100072" w14:textId="00100073">
            <w:pPr>
              <w:spacing w:after="0" w:line="240" w:lineRule="auto"/>
            </w:pPr>
            <w:r>
              <w:t xml:space="preserve">Google OAuth 客户端密钥</w:t>
            </w:r>
          </w:p>
        </w:tc>
        <w:tc>
          <w:tcPr/>
          <w:p w14:paraId="00100074" w14:textId="00100075">
            <w:pPr>
              <w:spacing w:after="0" w:line="240" w:lineRule="auto"/>
            </w:pPr>
            <w:r>
              <w:t xml:space="preserve">仅 google-auth</w:t>
            </w:r>
          </w:p>
        </w:tc>
      </w:tr>
    </w:tbl>
    <w:p w14:paraId="00100076" w14:textId="00100077">
      <w:pPr>
        <w:pStyle w:val="Heading2"/>
      </w:pPr>
      <w:r>
        <w:rPr/>
        <w:t xml:space="preserve">二、HTTP 请求头字段</w:t>
      </w:r>
    </w:p>
    <w:p w14:paraId="00100078" w14:textId="00100079">
      <w:pPr/>
      <w:r>
        <w:rPr/>
        <w:t xml:space="preserve">以下字段出现在每次向 LLM 发起的 HTTP 请求 Headers 中。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shd w:val="clear" w:fill="D9E1F2"/>
          </w:tcPr>
          <w:p w14:paraId="0010007A" w14:textId="001000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Header 字段</w:t>
            </w:r>
          </w:p>
        </w:tc>
        <w:tc>
          <w:tcPr>
            <w:shd w:val="clear" w:fill="D9E1F2"/>
          </w:tcPr>
          <w:p w14:paraId="0010007C" w14:textId="0010007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值</w:t>
            </w:r>
          </w:p>
        </w:tc>
        <w:tc>
          <w:tcPr>
            <w:shd w:val="clear" w:fill="D9E1F2"/>
          </w:tcPr>
          <w:p w14:paraId="0010007E" w14:textId="0010007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条件</w:t>
            </w:r>
          </w:p>
        </w:tc>
      </w:tr>
      <w:tr>
        <w:tc>
          <w:tcPr/>
          <w:p w14:paraId="00100080" w14:textId="00100081">
            <w:pPr>
              <w:spacing w:after="0" w:line="240" w:lineRule="auto"/>
            </w:pPr>
            <w:r>
              <w:t xml:space="preserve">Content-Type</w:t>
            </w:r>
          </w:p>
        </w:tc>
        <w:tc>
          <w:tcPr/>
          <w:p w14:paraId="00100082" w14:textId="00100083">
            <w:pPr>
              <w:spacing w:after="0" w:line="240" w:lineRule="auto"/>
            </w:pPr>
            <w:r>
              <w:t xml:space="preserve">application/json</w:t>
            </w:r>
          </w:p>
        </w:tc>
        <w:tc>
          <w:tcPr/>
          <w:p w14:paraId="00100084" w14:textId="00100085">
            <w:pPr>
              <w:spacing w:after="0" w:line="240" w:lineRule="auto"/>
            </w:pPr>
            <w:r>
              <w:t xml:space="preserve">始终</w:t>
            </w:r>
          </w:p>
        </w:tc>
      </w:tr>
      <w:tr>
        <w:tc>
          <w:tcPr/>
          <w:p w14:paraId="00100086" w14:textId="00100087">
            <w:pPr>
              <w:spacing w:after="0" w:line="240" w:lineRule="auto"/>
            </w:pPr>
            <w:r>
              <w:t xml:space="preserve">Authorization</w:t>
            </w:r>
          </w:p>
        </w:tc>
        <w:tc>
          <w:tcPr/>
          <w:p w14:paraId="00100088" w14:textId="00100089">
            <w:pPr>
              <w:spacing w:after="0" w:line="240" w:lineRule="auto"/>
            </w:pPr>
            <w:r>
              <w:t xml:space="preserve">Bearer {api_key}</w:t>
            </w:r>
          </w:p>
        </w:tc>
        <w:tc>
          <w:tcPr/>
          <w:p w14:paraId="0010008A" w14:textId="0010008B">
            <w:pPr>
              <w:spacing w:after="0" w:line="240" w:lineRule="auto"/>
            </w:pPr>
            <w:r>
              <w:t xml:space="preserve">authType = bearer（默认），platform 非 anthropic/bedrock/gemini</w:t>
            </w:r>
          </w:p>
        </w:tc>
      </w:tr>
      <w:tr>
        <w:tc>
          <w:tcPr/>
          <w:p w14:paraId="0010008C" w14:textId="0010008D">
            <w:pPr>
              <w:spacing w:after="0" w:line="240" w:lineRule="auto"/>
            </w:pPr>
            <w:r>
              <w:t xml:space="preserve">x-api-key</w:t>
            </w:r>
          </w:p>
        </w:tc>
        <w:tc>
          <w:tcPr/>
          <w:p w14:paraId="0010008E" w14:textId="0010008F">
            <w:pPr>
              <w:spacing w:after="0" w:line="240" w:lineRule="auto"/>
            </w:pPr>
            <w:r>
              <w:t xml:space="preserve">{api_key}</w:t>
            </w:r>
          </w:p>
        </w:tc>
        <w:tc>
          <w:tcPr/>
          <w:p w14:paraId="00100090" w14:textId="00100091">
            <w:pPr>
              <w:spacing w:after="0" w:line="240" w:lineRule="auto"/>
            </w:pPr>
            <w:r>
              <w:t xml:space="preserve">authType = x-api-key（Anthropic 原生）</w:t>
            </w:r>
          </w:p>
        </w:tc>
      </w:tr>
      <w:tr>
        <w:tc>
          <w:tcPr/>
          <w:p w14:paraId="00100092" w14:textId="00100093">
            <w:pPr>
              <w:spacing w:after="0" w:line="240" w:lineRule="auto"/>
            </w:pPr>
            <w:r>
              <w:t xml:space="preserve">anthropic-version</w:t>
            </w:r>
          </w:p>
        </w:tc>
        <w:tc>
          <w:tcPr/>
          <w:p w14:paraId="00100094" w14:textId="00100095">
            <w:pPr>
              <w:spacing w:after="0" w:line="240" w:lineRule="auto"/>
            </w:pPr>
            <w:r>
              <w:t xml:space="preserve">2023-06-01</w:t>
            </w:r>
          </w:p>
        </w:tc>
        <w:tc>
          <w:tcPr/>
          <w:p w14:paraId="00100096" w14:textId="00100097">
            <w:pPr>
              <w:spacing w:after="0" w:line="240" w:lineRule="auto"/>
            </w:pPr>
            <w:r>
              <w:t xml:space="preserve">platform = anthropic 原生路径</w:t>
            </w:r>
          </w:p>
        </w:tc>
      </w:tr>
      <w:tr>
        <w:tc>
          <w:tcPr/>
          <w:p w14:paraId="00100098" w14:textId="00100099">
            <w:pPr>
              <w:spacing w:after="0" w:line="240" w:lineRule="auto"/>
            </w:pPr>
            <w:r>
              <w:t xml:space="preserve">Api</w:t>
            </w:r>
          </w:p>
        </w:tc>
        <w:tc>
          <w:tcPr/>
          <w:p w14:paraId="0010009A" w14:textId="0010009B">
            <w:pPr>
              <w:spacing w:after="0" w:line="240" w:lineRule="auto"/>
            </w:pPr>
            <w:r>
              <w:t xml:space="preserve">openai-completions</w:t>
            </w:r>
          </w:p>
        </w:tc>
        <w:tc>
          <w:tcPr/>
          <w:p w14:paraId="0010009C" w14:textId="0010009D">
            <w:pPr>
              <w:spacing w:after="0" w:line="240" w:lineRule="auto"/>
            </w:pPr>
            <w:r>
              <w:t xml:space="preserve">authType = openai-completions（LiteLLM 兼容，双头之一）</w:t>
            </w:r>
          </w:p>
        </w:tc>
      </w:tr>
      <w:tr>
        <w:tc>
          <w:tcPr/>
          <w:p w14:paraId="0010009E" w14:textId="0010009F">
            <w:pPr>
              <w:spacing w:after="0" w:line="240" w:lineRule="auto"/>
            </w:pPr>
            <w:r>
              <w:t xml:space="preserve">Protocol</w:t>
            </w:r>
          </w:p>
        </w:tc>
        <w:tc>
          <w:tcPr/>
          <w:p w14:paraId="001000A0" w14:textId="001000A1">
            <w:pPr>
              <w:spacing w:after="0" w:line="240" w:lineRule="auto"/>
            </w:pPr>
            <w:r>
              <w:t xml:space="preserve">openai</w:t>
            </w:r>
          </w:p>
        </w:tc>
        <w:tc>
          <w:tcPr/>
          <w:p w14:paraId="001000A2" w14:textId="001000A3">
            <w:pPr>
              <w:spacing w:after="0" w:line="240" w:lineRule="auto"/>
            </w:pPr>
            <w:r>
              <w:t xml:space="preserve">authType = openai-completions（LiteLLM 兼容，双头之二）</w:t>
            </w:r>
          </w:p>
        </w:tc>
      </w:tr>
    </w:tbl>
    <w:p w14:paraId="001000A4" w14:textId="001000A5">
      <w:pPr>
        <w:pStyle w:val="Heading2"/>
      </w:pPr>
      <w:r>
        <w:rPr/>
        <w:t xml:space="preserve">三、HTTP 请求体字段（OneAgent / OpenAI 兼容路径）</w:t>
      </w:r>
    </w:p>
    <w:p w14:paraId="001000A6" w14:textId="001000A7">
      <w:pPr/>
      <w:r>
        <w:rPr/>
        <w:t xml:space="preserve">请求体为 JSON，发送至 {base_url}/chat/completions（经 URL 规范化后）。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shd w:val="clear" w:fill="D9E1F2"/>
          </w:tcPr>
          <w:p w14:paraId="001000A8" w14:textId="001000A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字段</w:t>
            </w:r>
          </w:p>
        </w:tc>
        <w:tc>
          <w:tcPr>
            <w:shd w:val="clear" w:fill="D9E1F2"/>
          </w:tcPr>
          <w:p w14:paraId="001000AA" w14:textId="001000A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类型</w:t>
            </w:r>
          </w:p>
        </w:tc>
        <w:tc>
          <w:tcPr>
            <w:shd w:val="clear" w:fill="D9E1F2"/>
          </w:tcPr>
          <w:p w14:paraId="001000AC" w14:textId="001000A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说明 / 来源</w:t>
            </w:r>
          </w:p>
        </w:tc>
      </w:tr>
      <w:tr>
        <w:tc>
          <w:tcPr/>
          <w:p w14:paraId="001000AE" w14:textId="001000AF">
            <w:pPr>
              <w:spacing w:after="0" w:line="240" w:lineRule="auto"/>
            </w:pPr>
            <w:r>
              <w:t xml:space="preserve">model</w:t>
            </w:r>
          </w:p>
        </w:tc>
        <w:tc>
          <w:tcPr/>
          <w:p w14:paraId="001000B0" w14:textId="001000B1">
            <w:pPr>
              <w:spacing w:after="0" w:line="240" w:lineRule="auto"/>
            </w:pPr>
            <w:r>
              <w:t xml:space="preserve">string</w:t>
            </w:r>
          </w:p>
        </w:tc>
        <w:tc>
          <w:tcPr/>
          <w:p w14:paraId="001000B2" w14:textId="001000B3">
            <w:pPr>
              <w:spacing w:after="0" w:line="240" w:lineRule="auto"/>
            </w:pPr>
            <w:r>
              <w:t xml:space="preserve">provider.useModel — 用户选择的模型 ID，原样透传，不做任何修改</w:t>
            </w:r>
          </w:p>
        </w:tc>
      </w:tr>
      <w:tr>
        <w:tc>
          <w:tcPr/>
          <w:p w14:paraId="001000B4" w14:textId="001000B5">
            <w:pPr>
              <w:spacing w:after="0" w:line="240" w:lineRule="auto"/>
            </w:pPr>
            <w:r>
              <w:t xml:space="preserve">messages</w:t>
            </w:r>
          </w:p>
        </w:tc>
        <w:tc>
          <w:tcPr/>
          <w:p w14:paraId="001000B6" w14:textId="001000B7">
            <w:pPr>
              <w:spacing w:after="0" w:line="240" w:lineRule="auto"/>
            </w:pPr>
            <w:r>
              <w:t xml:space="preserve">array</w:t>
            </w:r>
          </w:p>
        </w:tc>
        <w:tc>
          <w:tcPr/>
          <w:p w14:paraId="001000B8" w14:textId="001000B9">
            <w:pPr>
              <w:spacing w:after="0" w:line="240" w:lineRule="auto"/>
            </w:pPr>
            <w:r>
              <w:t xml:space="preserve">对话历史，含 system / user / assistant / tool 角色，内容含文本与 base64 图片</w:t>
            </w:r>
          </w:p>
        </w:tc>
      </w:tr>
      <w:tr>
        <w:tc>
          <w:tcPr/>
          <w:p w14:paraId="001000BA" w14:textId="001000BB">
            <w:pPr>
              <w:spacing w:after="0" w:line="240" w:lineRule="auto"/>
            </w:pPr>
            <w:r>
              <w:t xml:space="preserve">stream</w:t>
            </w:r>
          </w:p>
        </w:tc>
        <w:tc>
          <w:tcPr/>
          <w:p w14:paraId="001000BC" w14:textId="001000BD">
            <w:pPr>
              <w:spacing w:after="0" w:line="240" w:lineRule="auto"/>
            </w:pPr>
            <w:r>
              <w:t xml:space="preserve">boolean</w:t>
            </w:r>
          </w:p>
        </w:tc>
        <w:tc>
          <w:tcPr/>
          <w:p w14:paraId="001000BE" w14:textId="001000BF">
            <w:pPr>
              <w:spacing w:after="0" w:line="240" w:lineRule="auto"/>
            </w:pPr>
            <w:r>
              <w:t xml:space="preserve">始终为 true（SSE 流式），OneAgent 内部用流式解析</w:t>
            </w:r>
          </w:p>
        </w:tc>
      </w:tr>
      <w:tr>
        <w:tc>
          <w:tcPr/>
          <w:p w14:paraId="001000C0" w14:textId="001000C1">
            <w:pPr>
              <w:spacing w:after="0" w:line="240" w:lineRule="auto"/>
            </w:pPr>
            <w:r>
              <w:t xml:space="preserve">tools</w:t>
            </w:r>
          </w:p>
        </w:tc>
        <w:tc>
          <w:tcPr/>
          <w:p w14:paraId="001000C2" w14:textId="001000C3">
            <w:pPr>
              <w:spacing w:after="0" w:line="240" w:lineRule="auto"/>
            </w:pPr>
            <w:r>
              <w:t xml:space="preserve">array?</w:t>
            </w:r>
          </w:p>
        </w:tc>
        <w:tc>
          <w:tcPr/>
          <w:p w14:paraId="001000C4" w14:textId="001000C5">
            <w:pPr>
              <w:spacing w:after="0" w:line="240" w:lineRule="auto"/>
            </w:pPr>
            <w:r>
              <w:t xml:space="preserve">MCP 工具定义列表（OpenAI function calling 格式），无工具时不发送此字段</w:t>
            </w:r>
          </w:p>
        </w:tc>
      </w:tr>
      <w:tr>
        <w:tc>
          <w:tcPr/>
          <w:p w14:paraId="001000C6" w14:textId="001000C7">
            <w:pPr>
              <w:spacing w:after="0" w:line="240" w:lineRule="auto"/>
            </w:pPr>
            <w:r>
              <w:t xml:space="preserve">tool_choice</w:t>
            </w:r>
          </w:p>
        </w:tc>
        <w:tc>
          <w:tcPr/>
          <w:p w14:paraId="001000C8" w14:textId="001000C9">
            <w:pPr>
              <w:spacing w:after="0" w:line="240" w:lineRule="auto"/>
            </w:pPr>
            <w:r>
              <w:t xml:space="preserve">string?</w:t>
            </w:r>
          </w:p>
        </w:tc>
        <w:tc>
          <w:tcPr/>
          <w:p w14:paraId="001000CA" w14:textId="001000CB">
            <w:pPr>
              <w:spacing w:after="0" w:line="240" w:lineRule="auto"/>
            </w:pPr>
            <w:r>
              <w:t xml:space="preserve">有 tools 时设为 "auto"</w:t>
            </w:r>
          </w:p>
        </w:tc>
      </w:tr>
      <w:tr>
        <w:tc>
          <w:tcPr/>
          <w:p w14:paraId="001000CC" w14:textId="001000CD">
            <w:pPr>
              <w:spacing w:after="0" w:line="240" w:lineRule="auto"/>
            </w:pPr>
            <w:r>
              <w:t xml:space="preserve">max_tokens</w:t>
            </w:r>
          </w:p>
        </w:tc>
        <w:tc>
          <w:tcPr/>
          <w:p w14:paraId="001000CE" w14:textId="001000CF">
            <w:pPr>
              <w:spacing w:after="0" w:line="240" w:lineRule="auto"/>
            </w:pPr>
            <w:r>
              <w:t xml:space="preserve">number?</w:t>
            </w:r>
          </w:p>
        </w:tc>
        <w:tc>
          <w:tcPr/>
          <w:p w14:paraId="001000D0" w14:textId="001000D1">
            <w:pPr>
              <w:spacing w:after="0" w:line="240" w:lineRule="auto"/>
            </w:pPr>
            <w:r>
              <w:t xml:space="preserve">仅 platform=anthropic（原生路径）时传入，值来自模型配置；OpenAI 兼容路径默认不传</w:t>
            </w:r>
          </w:p>
        </w:tc>
      </w:tr>
      <w:tr>
        <w:tc>
          <w:tcPr/>
          <w:p w14:paraId="001000D2" w14:textId="001000D3">
            <w:pPr>
              <w:spacing w:after="0" w:line="240" w:lineRule="auto"/>
            </w:pPr>
            <w:r>
              <w:t xml:space="preserve">temperature / top_p 等</w:t>
            </w:r>
          </w:p>
        </w:tc>
        <w:tc>
          <w:tcPr/>
          <w:p w14:paraId="001000D4" w14:textId="001000D5">
            <w:pPr>
              <w:spacing w:after="0" w:line="240" w:lineRule="auto"/>
            </w:pPr>
            <w:r>
              <w:t xml:space="preserve">—</w:t>
            </w:r>
          </w:p>
        </w:tc>
        <w:tc>
          <w:tcPr/>
          <w:p w14:paraId="001000D6" w14:textId="001000D7">
            <w:pPr>
              <w:spacing w:after="0" w:line="240" w:lineRule="auto"/>
            </w:pPr>
            <w:r>
              <w:t xml:space="preserve">⚠️ 1one 目前不传这些字段，由上游（LiteLLM / 模型默认）决定</w:t>
            </w:r>
          </w:p>
        </w:tc>
      </w:tr>
    </w:tbl>
    <w:p w14:paraId="001000D8" w14:textId="001000D9">
      <w:pPr>
        <w:pStyle w:val="Heading2"/>
      </w:pPr>
      <w:r>
        <w:rPr/>
        <w:t xml:space="preserve">四、aionrs 二进制 CLI 参数与 TOML 配置</w:t>
      </w:r>
    </w:p>
    <w:p w14:paraId="001000DA" w14:textId="001000DB">
      <w:pPr/>
      <w:r>
        <w:rPr/>
        <w:t xml:space="preserve">1one 以子进程方式启动 aionrs 二进制，传入以下 CLI 参数。同时会在 workspace 目录写入 aionrs_ONE_&lt;id&gt;.toml 作为持久配置。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shd w:val="clear" w:fill="D9E1F2"/>
          </w:tcPr>
          <w:p w14:paraId="001000DC" w14:textId="001000D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CLI 参数 / TOML 字段</w:t>
            </w:r>
          </w:p>
        </w:tc>
        <w:tc>
          <w:tcPr>
            <w:shd w:val="clear" w:fill="D9E1F2"/>
          </w:tcPr>
          <w:p w14:paraId="001000DE" w14:textId="001000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值来源</w:t>
            </w:r>
          </w:p>
        </w:tc>
        <w:tc>
          <w:tcPr>
            <w:shd w:val="clear" w:fill="D9E1F2"/>
          </w:tcPr>
          <w:p w14:paraId="001000E0" w14:textId="001000E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 w14:paraId="001000E2" w14:textId="001000E3">
            <w:pPr>
              <w:spacing w:after="0" w:line="240" w:lineRule="auto"/>
            </w:pPr>
            <w:r>
              <w:t xml:space="preserve">--base-url</w:t>
            </w:r>
          </w:p>
        </w:tc>
        <w:tc>
          <w:tcPr/>
          <w:p w14:paraId="001000E4" w14:textId="001000E5">
            <w:pPr>
              <w:spacing w:after="0" w:line="240" w:lineRule="auto"/>
            </w:pPr>
            <w:r>
              <w:t xml:space="preserve">normalizeOpenAiCompatBaseUrl(provider.base_url)</w:t>
            </w:r>
          </w:p>
        </w:tc>
        <w:tc>
          <w:tcPr/>
          <w:p w14:paraId="001000E6" w14:textId="001000E7">
            <w:pPr>
              <w:spacing w:after="0" w:line="240" w:lineRule="auto"/>
            </w:pPr>
            <w:r>
              <w:t xml:space="preserve">去掉末尾 /v1，aionrs 内部自动拼接 /v1/chat/completions</w:t>
            </w:r>
          </w:p>
        </w:tc>
      </w:tr>
      <w:tr>
        <w:tc>
          <w:tcPr/>
          <w:p w14:paraId="001000E8" w14:textId="001000E9">
            <w:pPr>
              <w:spacing w:after="0" w:line="240" w:lineRule="auto"/>
            </w:pPr>
            <w:r>
              <w:t xml:space="preserve">--api-key</w:t>
            </w:r>
          </w:p>
        </w:tc>
        <w:tc>
          <w:tcPr/>
          <w:p w14:paraId="001000EA" w14:textId="001000EB">
            <w:pPr>
              <w:spacing w:after="0" w:line="240" w:lineRule="auto"/>
            </w:pPr>
            <w:r>
              <w:t xml:space="preserve">provider.api_key</w:t>
            </w:r>
          </w:p>
        </w:tc>
        <w:tc>
          <w:tcPr/>
          <w:p w14:paraId="001000EC" w14:textId="001000ED">
            <w:pPr>
              <w:spacing w:after="0" w:line="240" w:lineRule="auto"/>
            </w:pPr>
            <w:r>
              <w:t xml:space="preserve">原样传入</w:t>
            </w:r>
          </w:p>
        </w:tc>
      </w:tr>
      <w:tr>
        <w:tc>
          <w:tcPr/>
          <w:p w14:paraId="001000EE" w14:textId="001000EF">
            <w:pPr>
              <w:spacing w:after="0" w:line="240" w:lineRule="auto"/>
            </w:pPr>
            <w:r>
              <w:t xml:space="preserve">--model</w:t>
            </w:r>
          </w:p>
        </w:tc>
        <w:tc>
          <w:tcPr/>
          <w:p w14:paraId="001000F0" w14:textId="001000F1">
            <w:pPr>
              <w:spacing w:after="0" w:line="240" w:lineRule="auto"/>
            </w:pPr>
            <w:r>
              <w:t xml:space="preserve">provider.useModel</w:t>
            </w:r>
          </w:p>
        </w:tc>
        <w:tc>
          <w:tcPr/>
          <w:p w14:paraId="001000F2" w14:textId="001000F3">
            <w:pPr>
              <w:spacing w:after="0" w:line="240" w:lineRule="auto"/>
            </w:pPr>
            <w:r>
              <w:t xml:space="preserve">模型 ID，原样传入</w:t>
            </w:r>
          </w:p>
        </w:tc>
      </w:tr>
      <w:tr>
        <w:tc>
          <w:tcPr/>
          <w:p w14:paraId="001000F4" w14:textId="001000F5">
            <w:pPr>
              <w:spacing w:after="0" w:line="240" w:lineRule="auto"/>
            </w:pPr>
            <w:r>
              <w:t xml:space="preserve">--provider (TOML: api)</w:t>
            </w:r>
          </w:p>
        </w:tc>
        <w:tc>
          <w:tcPr/>
          <w:p w14:paraId="001000F6" w14:textId="001000F7">
            <w:pPr>
              <w:spacing w:after="0" w:line="240" w:lineRule="auto"/>
            </w:pPr>
            <w:r>
              <w:t xml:space="preserve">由 authType 映射（见第七节）</w:t>
            </w:r>
          </w:p>
        </w:tc>
        <w:tc>
          <w:tcPr/>
          <w:p w14:paraId="001000F8" w14:textId="001000F9">
            <w:pPr>
              <w:spacing w:after="0" w:line="240" w:lineRule="auto"/>
            </w:pPr>
            <w:r>
              <w:t xml:space="preserve">控制 aionrs 使用的 HTTP auth 方式，关键字段</w:t>
            </w:r>
          </w:p>
        </w:tc>
      </w:tr>
      <w:tr>
        <w:tc>
          <w:tcPr/>
          <w:p w14:paraId="001000FA" w14:textId="001000FB">
            <w:pPr>
              <w:spacing w:after="0" w:line="240" w:lineRule="auto"/>
            </w:pPr>
            <w:r>
              <w:t xml:space="preserve">--workspace / --project-dir</w:t>
            </w:r>
          </w:p>
        </w:tc>
        <w:tc>
          <w:tcPr/>
          <w:p w14:paraId="001000FC" w14:textId="001000FD">
            <w:pPr>
              <w:spacing w:after="0" w:line="240" w:lineRule="auto"/>
            </w:pPr>
            <w:r>
              <w:t xml:space="preserve">aionrs-temp-{timestamp} 临时目录</w:t>
            </w:r>
          </w:p>
        </w:tc>
        <w:tc>
          <w:tcPr/>
          <w:p w14:paraId="001000FE" w14:textId="001000FF">
            <w:pPr>
              <w:spacing w:after="0" w:line="240" w:lineRule="auto"/>
            </w:pPr>
            <w:r>
              <w:t xml:space="preserve">aionrs 的工作目录，用户文件会被 copy 到此处</w:t>
            </w:r>
          </w:p>
        </w:tc>
      </w:tr>
      <w:tr>
        <w:tc>
          <w:tcPr/>
          <w:p w14:paraId="00100100" w14:textId="00100101">
            <w:pPr>
              <w:spacing w:after="0" w:line="240" w:lineRule="auto"/>
            </w:pPr>
            <w:r>
              <w:t xml:space="preserve">--session-id / --resume</w:t>
            </w:r>
          </w:p>
        </w:tc>
        <w:tc>
          <w:tcPr/>
          <w:p w14:paraId="00100102" w14:textId="00100103">
            <w:pPr>
              <w:spacing w:after="0" w:line="240" w:lineRule="auto"/>
            </w:pPr>
            <w:r>
              <w:t xml:space="preserve">conversation.extra.aionrsSessionId 或 conversation_id</w:t>
            </w:r>
          </w:p>
        </w:tc>
        <w:tc>
          <w:tcPr/>
          <w:p w14:paraId="00100104" w14:textId="00100105">
            <w:pPr>
              <w:spacing w:after="0" w:line="240" w:lineRule="auto"/>
            </w:pPr>
            <w:r>
              <w:t xml:space="preserve">首次用 conversation_id 作 session；后续 resume 用 aionrs 自己生成的 session_id（持久化到 extra）</w:t>
            </w:r>
          </w:p>
        </w:tc>
      </w:tr>
      <w:tr>
        <w:tc>
          <w:tcPr/>
          <w:p w14:paraId="00100106" w14:textId="00100107">
            <w:pPr>
              <w:spacing w:after="0" w:line="240" w:lineRule="auto"/>
            </w:pPr>
            <w:r>
              <w:t xml:space="preserve">system prompt</w:t>
            </w:r>
          </w:p>
        </w:tc>
        <w:tc>
          <w:tcPr/>
          <w:p w14:paraId="00100108" w14:textId="00100109">
            <w:pPr>
              <w:spacing w:after="0" w:line="240" w:lineRule="auto"/>
            </w:pPr>
            <w:r>
              <w:t xml:space="preserve">neutralSystemPrompt（envBuilder.ts）</w:t>
            </w:r>
          </w:p>
        </w:tc>
        <w:tc>
          <w:tcPr/>
          <w:p w14:paraId="0010010A" w14:textId="0010010B">
            <w:pPr>
              <w:spacing w:after="0" w:line="240" w:lineRule="auto"/>
            </w:pPr>
            <w:r>
              <w:t xml:space="preserve">注入给模型的基础指令：禁止递归 dir /s /b、不读二进制图片、优先 git ls-files</w:t>
            </w:r>
          </w:p>
        </w:tc>
      </w:tr>
      <w:tr>
        <w:tc>
          <w:tcPr/>
          <w:p w14:paraId="0010010C" w14:textId="0010010D">
            <w:pPr>
              <w:spacing w:after="0" w:line="240" w:lineRule="auto"/>
            </w:pPr>
            <w:r>
              <w:t xml:space="preserve">MCP servers</w:t>
            </w:r>
          </w:p>
        </w:tc>
        <w:tc>
          <w:tcPr/>
          <w:p w14:paraId="0010010E" w14:textId="0010010F">
            <w:pPr>
              <w:spacing w:after="0" w:line="240" w:lineRule="auto"/>
            </w:pPr>
            <w:r>
              <w:t xml:space="preserve">用户配置的 MCP 列表</w:t>
            </w:r>
          </w:p>
        </w:tc>
        <w:tc>
          <w:tcPr/>
          <w:p w14:paraId="00100110" w14:textId="00100111">
            <w:pPr>
              <w:spacing w:after="0" w:line="240" w:lineRule="auto"/>
            </w:pPr>
            <w:r>
              <w:t xml:space="preserve">写入 TOML [mcp_servers] 段，aionrs 子进程用 npx 启动（依赖 PATH 中有 npx）</w:t>
            </w:r>
          </w:p>
        </w:tc>
      </w:tr>
    </w:tbl>
    <w:p w14:paraId="00100112" w14:textId="00100113">
      <w:pPr>
        <w:pStyle w:val="Heading2"/>
      </w:pPr>
      <w:r>
        <w:rPr/>
        <w:t xml:space="preserve">五、URL 规范化规则</w:t>
      </w:r>
    </w:p>
    <w:p w14:paraId="00100114" w14:textId="00100115">
      <w:pPr/>
      <w:r>
        <w:rPr/>
        <w:t xml:space="preserve">1one 在使用 base_url 前会做以下处理：</w:t>
      </w:r>
    </w:p>
    <w:p w14:paraId="00100116" w14:textId="00100117">
      <w:pPr/>
      <w:r>
        <w:rPr/>
        <w:t xml:space="preserve">1. 末尾 / 去掉</w:t>
      </w:r>
    </w:p>
    <w:p w14:paraId="00100118" w14:textId="00100119">
      <w:pPr/>
      <w:r>
        <w:rPr/>
        <w:t xml:space="preserve">2. 末尾 /v1 去掉（stripTrailingV1），然后在构造请求时重新拼上 /v1/chat/completions</w:t>
      </w:r>
    </w:p>
    <w:p w14:paraId="0010011A" w14:textId="0010011B">
      <w:pPr/>
      <w:r>
        <w:rPr/>
        <w:t xml:space="preserve">3. new-api 平台：调用 normalizeNewApiBaseUrl，保留完整路径但确保不重复 /v1</w:t>
      </w:r>
    </w:p>
    <w:p w14:paraId="0010011C" w14:textId="0010011D">
      <w:pPr/>
      <w:r>
        <w:rPr/>
        <w:t xml:space="preserve">4. 结果 URL 示例：https://litellm.example.com + /v1/chat/completions = https://litellm.example.com/v1/chat/completions</w:t>
      </w:r>
    </w:p>
    <w:p w14:paraId="0010011E" w14:textId="0010011F">
      <w:pPr>
        <w:pStyle w:val="Heading2"/>
      </w:pPr>
      <w:r>
        <w:rPr/>
        <w:t xml:space="preserve">六、LiteLLM 代理检测逻辑</w:t>
      </w:r>
    </w:p>
    <w:p w14:paraId="00100120" w14:textId="00100121">
      <w:pPr/>
      <w:r>
        <w:rPr/>
        <w:t xml:space="preserve">当 authType == openai-completions 时，1one 会在请求头中同时附加：</w:t>
      </w:r>
    </w:p>
    <w:p w14:paraId="00100122" w14:textId="00100123">
      <w:pPr/>
      <w:r>
        <w:rPr/>
        <w:t xml:space="preserve">  Api: openai-completions</w:t>
      </w:r>
    </w:p>
    <w:p w14:paraId="00100124" w14:textId="00100125">
      <w:pPr/>
      <w:r>
        <w:rPr/>
        <w:t xml:space="preserve">  Protocol: openai</w:t>
      </w:r>
    </w:p>
    <w:p w14:paraId="00100126" w14:textId="00100127">
      <w:pPr/>
      <w:r>
        <w:rPr/>
        <w:t xml:space="preserve">这两个头对应 LiteLLM 工具封装推荐配置中的 protocol: openai 与 endpoint: /v1/chat/completions，实现双重兼容。</w:t>
      </w:r>
    </w:p>
    <w:p w14:paraId="00100128" w14:textId="00100129">
      <w:pPr/>
      <w:r>
        <w:rPr/>
        <w:t xml:space="preserve">判断函数：shouldAttachLiteLlmOpenAiProtocolHeader(provider) — 检查 provider.authType === 'openai-completions'。</w:t>
      </w:r>
    </w:p>
    <w:p w14:paraId="0010012A" w14:textId="0010012B">
      <w:pPr>
        <w:pStyle w:val="Heading2"/>
      </w:pPr>
      <w:r>
        <w:rPr/>
        <w:t xml:space="preserve">七、aionrs 的 authType 与 api 字段映射</w:t>
      </w:r>
    </w:p>
    <w:p w14:paraId="0010012C" w14:textId="0010012D">
      <w:pPr/>
      <w:r>
        <w:rPr/>
        <w:t xml:space="preserve">aionrs TOML 中 api 字段由 authType 决定：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shd w:val="clear" w:fill="D9E1F2"/>
          </w:tcPr>
          <w:p w14:paraId="0010012E" w14:textId="001001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authType 值</w:t>
            </w:r>
          </w:p>
        </w:tc>
        <w:tc>
          <w:tcPr>
            <w:shd w:val="clear" w:fill="D9E1F2"/>
          </w:tcPr>
          <w:p w14:paraId="00100130" w14:textId="0010013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aionrs TOML api 字段</w:t>
            </w:r>
          </w:p>
        </w:tc>
      </w:tr>
      <w:tr>
        <w:tc>
          <w:tcPr/>
          <w:p w14:paraId="00100132" w14:textId="00100133">
            <w:pPr>
              <w:spacing w:after="0" w:line="240" w:lineRule="auto"/>
            </w:pPr>
            <w:r>
              <w:t xml:space="preserve">bearer（默认）</w:t>
            </w:r>
          </w:p>
        </w:tc>
        <w:tc>
          <w:tcPr/>
          <w:p w14:paraId="00100134" w14:textId="00100135">
            <w:pPr>
              <w:spacing w:after="0" w:line="240" w:lineRule="auto"/>
            </w:pPr>
            <w:r>
              <w:t xml:space="preserve">openai  →  Authorization: Bearer {key}</w:t>
            </w:r>
          </w:p>
        </w:tc>
      </w:tr>
      <w:tr>
        <w:tc>
          <w:tcPr/>
          <w:p w14:paraId="00100136" w14:textId="00100137">
            <w:pPr>
              <w:spacing w:after="0" w:line="240" w:lineRule="auto"/>
            </w:pPr>
            <w:r>
              <w:t xml:space="preserve">openai-completions</w:t>
            </w:r>
          </w:p>
        </w:tc>
        <w:tc>
          <w:tcPr/>
          <w:p w14:paraId="00100138" w14:textId="00100139">
            <w:pPr>
              <w:spacing w:after="0" w:line="240" w:lineRule="auto"/>
            </w:pPr>
            <w:r>
              <w:t xml:space="preserve">openai-completions  →  Authorization: Bearer {key} + Api: openai-completions + Protocol: openai</w:t>
            </w:r>
          </w:p>
        </w:tc>
      </w:tr>
      <w:tr>
        <w:tc>
          <w:tcPr/>
          <w:p w14:paraId="0010013A" w14:textId="0010013B">
            <w:pPr>
              <w:spacing w:after="0" w:line="240" w:lineRule="auto"/>
            </w:pPr>
            <w:r>
              <w:t xml:space="preserve">x-api-key</w:t>
            </w:r>
          </w:p>
        </w:tc>
        <w:tc>
          <w:tcPr/>
          <w:p w14:paraId="0010013C" w14:textId="0010013D">
            <w:pPr>
              <w:spacing w:after="0" w:line="240" w:lineRule="auto"/>
            </w:pPr>
            <w:r>
              <w:t xml:space="preserve">anthropic  →  x-api-key: {key}</w:t>
            </w:r>
          </w:p>
        </w:tc>
      </w:tr>
      <w:tr>
        <w:tc>
          <w:tcPr/>
          <w:p w14:paraId="0010013E" w14:textId="0010013F">
            <w:pPr>
              <w:spacing w:after="0" w:line="240" w:lineRule="auto"/>
            </w:pPr>
            <w:r>
              <w:t xml:space="preserve">google-auth</w:t>
            </w:r>
          </w:p>
        </w:tc>
        <w:tc>
          <w:tcPr/>
          <w:p w14:paraId="00100140" w14:textId="00100141">
            <w:pPr>
              <w:spacing w:after="0" w:line="240" w:lineRule="auto"/>
            </w:pPr>
            <w:r>
              <w:t xml:space="preserve">gemini  →  Authorization: Bearer {oauth_token}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overflowPunct w:val="false"/>
        <w:autoSpaceDE w:val="false"/>
        <w:autoSpaceDN w:val="false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3fe4169c3de41a0" /><Relationship Type="http://schemas.openxmlformats.org/officeDocument/2006/relationships/styles" Target="/word/styles.xml" Id="R007b15ec50664f24" /><Relationship Type="http://schemas.openxmlformats.org/officeDocument/2006/relationships/numbering" Target="/word/numbering.xml" Id="R96a0e42832474914" /></Relationships>
</file>