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思源黑体" w:hAnsi="Times New Roman"/>
          <w:b/>
          <w:bCs/>
          <w:color w:val="1F3D5C"/>
          <w:sz w:val="44"/>
          <w:szCs w:val="44"/>
        </w:rPr>
        <w:t xml:space="preserve">交付 SOP（示例填好）</w:t>
      </w:r>
    </w:p>
    <w:p>
      <w:pPr>
        <w:spacing w:after="200" w:before="60"/>
        <w:jc w:val="center"/>
      </w:pPr>
      <w:r>
        <w:rPr>
          <w:rFonts w:ascii="Times New Roman" w:cs="Times New Roman" w:eastAsia="思源黑体" w:hAnsi="Times New Roman"/>
          <w:b w:val="false"/>
          <w:bCs w:val="false"/>
          <w:color w:val="666666"/>
          <w:sz w:val="20"/>
          <w:szCs w:val="20"/>
        </w:rPr>
        <w:t xml:space="preserve">能力模块 5 · 交付标准化｜服务：VI基础系统（利润品 ¥4,800）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产品/服务名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VI基础系统（利润品）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目标客户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中小餐饮/零售店主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承诺的核心结果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可上墙/上菜单的完整品牌视觉规范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总交付周期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 个工作日</w:t>
            </w:r>
          </w:p>
        </w:tc>
      </w:tr>
    </w:tbl>
    <w:p>
      <w:pPr>
        <w:pStyle w:val="Heading1"/>
      </w:pPr>
      <w:r>
        <w:t xml:space="preserve">一、交付步骤 SOP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860"/>
        <w:gridCol w:w="1300"/>
        <w:gridCol w:w="21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动作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输入/输出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耗时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可外包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需求诊断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输入:问卷 输出:需求文档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否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竞品/风格调研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输入:3家对标 输出:情绪板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是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Logo+字体主视觉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输入:情绪板 输出:3稿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否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VI延展(名片/菜单)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输入:主视觉 输出:规范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是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交付+改稿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输入:成品 输出:源文件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否</w:t>
            </w:r>
          </w:p>
        </w:tc>
      </w:tr>
    </w:tbl>
    <w:p>
      <w:pPr>
        <w:pStyle w:val="Heading1"/>
      </w:pPr>
      <w:r>
        <w:t xml:space="preserve">二、客户预期管理话术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启动确认 → 「接下来 10 天按上述步骤推进，每周 2 次同步进度，遇延期会提前告知。」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延期预警 → 「调研比预期慢，整体顺延约 1 天，已压缩排版追赶，新交付日为 8/22。」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交付收尾 → 「交付已完成，核心结果是可落地的VI规范。7天内可免费调整1次，满意欢迎推荐给同行。」</w:t>
      </w:r>
    </w:p>
    <w:p>
      <w:pPr>
        <w:pStyle w:val="Heading1"/>
      </w:pPr>
      <w:r>
        <w:t xml:space="preserve">三、外包 / 自动化清单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可外包环节：竞品调研整理、VI延展排版（交给兼职设计）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可自动化环节：Calendly 预约、微信自动回复、交付后评价收集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工具串联：Notion(项目管理) + Calendly(预约) + 微信/支付宝(收款) + 企微(自动跟进)</w:t>
      </w:r>
    </w:p>
    <w:p>
      <w:pPr>
        <w:pStyle w:val="Heading1"/>
      </w:pPr>
      <w:r>
        <w:t xml:space="preserve">四、验收检查清单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□ 核心结果已达成：客户确认VI规范可用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□ 交付物齐全：Logo源文件 + 字体规范 + 名片/菜单模板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□ 客户已确认收讫（微信书面）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□ 收款已完成（50%+50%）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□ 已收集客户证言（用于下月获客）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思源黑体" w:hAnsi="Times New Roman"/>
        <w:color w:val="888888"/>
        <w:sz w:val="18"/>
        <w:szCs w:val="18"/>
      </w:rPr>
      <w:t xml:space="preserve">交付SOP · 示例 ｜ 第 </w:t>
    </w:r>
    <w:r>
      <w:rPr>
        <w:rFonts w:ascii="Times New Roman" w:cs="Times New Roman" w:eastAsia="思源黑体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思源黑体" w:hAnsi="Times New Roman"/>
        <w:color w:val="888888"/>
        <w:sz w:val="18"/>
        <w:szCs w:val="18"/>
      </w:rPr>
      <w:t xml:space="preserve"> 页 · 示例数据（林晓品牌设计）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A88" w:sz="6" w:space="4"/>
      </w:pBdr>
      <w:spacing w:after="140" w:before="260"/>
      <w:outlineLvl w:val="0"/>
    </w:pPr>
    <w:rPr>
      <w:rFonts w:ascii="Times New Roman" w:cs="Times New Roman" w:eastAsia="思源黑体" w:hAnsi="Times New Roman"/>
      <w:b/>
      <w:bCs/>
      <w:color w:val="1F3D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2026-09-07T12:35:24.259Z</dcterms:created>
  <dcterms:modified xsi:type="dcterms:W3CDTF">2026-09-07T12:35:24.259Z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