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思源黑体" w:hAnsi="Times New Roman"/>
          <w:b/>
          <w:bCs/>
          <w:color w:val="1F3D5C"/>
          <w:sz w:val="44"/>
          <w:szCs w:val="44"/>
        </w:rPr>
        <w:t xml:space="preserve">报价单（示例填好）</w:t>
      </w:r>
    </w:p>
    <w:p>
      <w:pPr>
        <w:spacing w:after="200" w:before="60"/>
        <w:jc w:val="center"/>
      </w:pPr>
      <w:r>
        <w:rPr>
          <w:rFonts w:ascii="Times New Roman" w:cs="Times New Roman" w:eastAsia="思源黑体" w:hAnsi="Times New Roman"/>
          <w:b w:val="false"/>
          <w:bCs w:val="false"/>
          <w:color w:val="666666"/>
          <w:sz w:val="20"/>
          <w:szCs w:val="20"/>
        </w:rPr>
        <w:t xml:space="preserve">能力模块 3 · 定价与成交｜示例主角：林晓品牌设计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客户名称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餐饮客户 A（社区面馆升级）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需求描述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完整VI基础系统：Logo + 字体 + 菜单/名片延展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报价日期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2026-08-10</w:t>
            </w:r>
          </w:p>
        </w:tc>
      </w:tr>
    </w:tbl>
    <w:p>
      <w:pPr>
        <w:pStyle w:val="Heading1"/>
      </w:pPr>
      <w:r>
        <w:t xml:space="preserve">一、报价计算（时间定价法）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时薪：¥150 / 小时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项目天数：10 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报价底线 = 150 × 3 × 10 = ¥4,500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对照三档阶梯 → 取「标准价 ¥4,800」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报价档位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金额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对应权益差异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试探价（下限）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¥3,800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仅 Logo + 字体，验证意愿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标准价（常规）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¥4,800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完整VI基础系统，主推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理想价（上限）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¥6,800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含空间/门头延展，限时</w:t>
            </w:r>
          </w:p>
        </w:tc>
      </w:tr>
    </w:tbl>
    <w:p>
      <w:pPr>
        <w:pStyle w:val="Heading1"/>
      </w:pPr>
      <w:r>
        <w:t xml:space="preserve">二、产品 / 服务矩阵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1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产品档位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定价区间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交付形式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毛利率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引流品（入门）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¥199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自动化品牌诊断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~85%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利润品（主力）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¥4,800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标准化VI系统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~70%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高端品（定制）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¥18,000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限量全案+空间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~65%</w:t>
            </w:r>
          </w:p>
        </w:tc>
      </w:tr>
    </w:tbl>
    <w:p>
      <w:pPr>
        <w:pStyle w:val="Heading1"/>
      </w:pPr>
      <w:r>
        <w:t xml:space="preserve">三、异议处理（已套用真实客户）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000000"/>
          <w:sz w:val="22"/>
          <w:szCs w:val="22"/>
        </w:rPr>
        <w:t xml:space="preserve">客户说「太贵了」→ 「理解。可先做 ¥199 品牌诊断把核心定调搞定；完整VI留到下一步，您看？」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000000"/>
          <w:sz w:val="22"/>
          <w:szCs w:val="22"/>
        </w:rPr>
        <w:t xml:space="preserve">客户说「我再想想」→ 「好。想时可看三点：① 现在没品牌每天流失多少客 ② 哪个档位贴合预算 ③ 何时开业最赶。想清随时找我。」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000000"/>
          <w:sz w:val="22"/>
          <w:szCs w:val="22"/>
        </w:rPr>
        <w:t xml:space="preserve">客户说「别人更便宜」→ 「确实有。差别在我专做餐饮、交付含3稿迭代+源文件。看重性价比可选 ¥199 诊断版。」</w:t>
      </w:r>
    </w:p>
    <w:p>
      <w:pPr>
        <w:pStyle w:val="Heading1"/>
      </w:pPr>
      <w:r>
        <w:t xml:space="preserve">四、付款与交付约定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付款方式：50%（签约）+ 50%（交付）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收款渠道：微信 / 支付宝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交付周期：签约后 10 个工作日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改稿次数：含 3 次免费修改，超出 ¥300/次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思源黑体" w:hAnsi="Times New Roman"/>
        <w:color w:val="888888"/>
        <w:sz w:val="18"/>
        <w:szCs w:val="18"/>
      </w:rPr>
      <w:t xml:space="preserve">报价单 · 示例 ｜ 第 </w:t>
    </w:r>
    <w:r>
      <w:rPr>
        <w:rFonts w:ascii="Times New Roman" w:cs="Times New Roman" w:eastAsia="思源黑体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思源黑体" w:hAnsi="Times New Roman"/>
        <w:color w:val="888888"/>
        <w:sz w:val="18"/>
        <w:szCs w:val="18"/>
      </w:rPr>
      <w:t xml:space="preserve"> 页 · 示例数据（林晓品牌设计）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A88" w:sz="6" w:space="4"/>
      </w:pBdr>
      <w:spacing w:after="140" w:before="260"/>
      <w:outlineLvl w:val="0"/>
    </w:pPr>
    <w:rPr>
      <w:rFonts w:ascii="Times New Roman" w:cs="Times New Roman" w:eastAsia="思源黑体" w:hAnsi="Times New Roman"/>
      <w:b/>
      <w:bCs/>
      <w:color w:val="1F3D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2026-09-07T12:35:24.236Z</dcterms:created>
  <dcterms:modified xsi:type="dcterms:W3CDTF">2026-09-07T12:35:24.236Z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