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DF99C"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指数增强策略</w:t>
      </w:r>
    </w:p>
    <w:p w14:paraId="1B33C505">
      <w:pPr>
        <w:rPr>
          <w:rFonts w:hint="eastAsia"/>
        </w:rPr>
      </w:pPr>
    </w:p>
    <w:p w14:paraId="3E62C6E3">
      <w:pPr>
        <w:rPr>
          <w:rFonts w:hint="eastAsia"/>
        </w:rPr>
      </w:pPr>
    </w:p>
    <w:p w14:paraId="2301BD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策略核心逻辑摘要</w:t>
      </w:r>
    </w:p>
    <w:p w14:paraId="3307D1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商品期货指数增强策略，指在紧密跟踪基准商品指数、获取其长期Beta收益的基础上，</w:t>
      </w:r>
      <w:r>
        <w:rPr>
          <w:rFonts w:hint="eastAsia"/>
          <w:lang w:val="en-US" w:eastAsia="zh-CN"/>
        </w:rPr>
        <w:t>提高</w:t>
      </w:r>
      <w:r>
        <w:rPr>
          <w:rFonts w:hint="eastAsia"/>
          <w:lang w:eastAsia="zh-CN"/>
        </w:rPr>
        <w:t>增厚收益、控制风险，以获取稳定的Alpha超额回报。</w:t>
      </w:r>
    </w:p>
    <w:p w14:paraId="1FB3487B">
      <w:pPr>
        <w:rPr>
          <w:rFonts w:hint="eastAsia"/>
          <w:lang w:eastAsia="zh-CN"/>
        </w:rPr>
      </w:pPr>
    </w:p>
    <w:p w14:paraId="261CFC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基准指数选择</w:t>
      </w:r>
    </w:p>
    <w:p w14:paraId="76AFC4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国内主流对标基准为南华商品指数与中证商品期货指数，两者均广泛覆盖能源、金属、农产品等板块，具备市场代表性。指数跟踪通常采用保证金交易模式，约10%-20%资金用于复制指数，剩余80%-90%资金可用于增强操作。</w:t>
      </w:r>
    </w:p>
    <w:p w14:paraId="21074256">
      <w:pPr>
        <w:rPr>
          <w:rFonts w:hint="eastAsia"/>
          <w:lang w:eastAsia="zh-CN"/>
        </w:rPr>
      </w:pPr>
    </w:p>
    <w:p w14:paraId="2F1653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增强收益路径</w:t>
      </w:r>
    </w:p>
    <w:p w14:paraId="51A604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基本面增强：基于商品供需周期、库存与宏观政策，动态调整板块或品种权重。例如，供需紧张时超配相关品种。</w:t>
      </w:r>
    </w:p>
    <w:p w14:paraId="059F8D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价量增强：运用量化模型，捕捉期货市场自身的趋势动量、波动率特征等交易机会。例如，通过量价因子模型进行多空交易。</w:t>
      </w:r>
    </w:p>
    <w:p w14:paraId="7A522C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展期优化：针对期货合约换月，选择最优时机与合约，降低展期损耗。例如，在贴水市场优先选择远月合约。</w:t>
      </w:r>
    </w:p>
    <w:p w14:paraId="42B394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低风险套利：利用跟踪指数后剩余的大量闲置资金，参与低风险策略提升效率。例如，配置国债期货、现金管理或高频套利。</w:t>
      </w:r>
    </w:p>
    <w:p w14:paraId="3D8E05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单品种增强：在策略上面稍微有不同；单品种增强更依赖于单品种的择时能力，即所谓的商品择时增强；其次一样可以通过该品种的跨期套利来增厚收益，充分利用资金。</w:t>
      </w:r>
    </w:p>
    <w:p w14:paraId="4131FFEE">
      <w:pPr>
        <w:rPr>
          <w:rFonts w:hint="eastAsia"/>
          <w:lang w:eastAsia="zh-CN"/>
        </w:rPr>
      </w:pPr>
    </w:p>
    <w:p w14:paraId="021003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策略定位与价值</w:t>
      </w:r>
    </w:p>
    <w:p w14:paraId="617527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与纯CTA策略的区别：商品指增 = 商品指数的Beta收益（抗通胀特性）+ Alpha超额收益。选择它意味着投资者认可并希望捕获商品指数的长期配置价值。</w:t>
      </w:r>
    </w:p>
    <w:p w14:paraId="708B9D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核心价值：通过增强手段显著改善持仓体验，在商品指数下跌或震荡时提供安全垫，帮助投资者实现长期持有，从而完整获取商品周期的爆发性收益。</w:t>
      </w:r>
    </w:p>
    <w:p w14:paraId="5426CDE9">
      <w:pPr>
        <w:rPr>
          <w:rFonts w:hint="eastAsia"/>
          <w:lang w:eastAsia="zh-CN"/>
        </w:rPr>
      </w:pPr>
    </w:p>
    <w:p w14:paraId="7A525F3D">
      <w:pPr>
        <w:rPr>
          <w:rFonts w:hint="eastAsia"/>
          <w:sz w:val="20"/>
          <w:szCs w:val="22"/>
          <w:lang w:eastAsia="zh-CN"/>
        </w:rPr>
      </w:pPr>
    </w:p>
    <w:p w14:paraId="298FB603">
      <w:pPr>
        <w:rPr>
          <w:rFonts w:hint="eastAsia"/>
          <w:sz w:val="20"/>
          <w:szCs w:val="22"/>
          <w:lang w:eastAsia="zh-CN"/>
        </w:rPr>
      </w:pPr>
    </w:p>
    <w:p w14:paraId="207CD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图片分析</w:t>
      </w:r>
    </w:p>
    <w:p w14:paraId="0BD4174A">
      <w:pPr>
        <w:rPr>
          <w:rFonts w:hint="eastAsia"/>
          <w:lang w:val="en-US" w:eastAsia="zh-CN"/>
        </w:rPr>
      </w:pPr>
    </w:p>
    <w:p w14:paraId="34BDC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图所展示的南华商品指数增强策略是一款典型的量化CTA多策略组合产品，其成立时间为1.6年。在实际业绩中，该基金累计涨幅达到40.38%，明显优于基准南华商品指数的17.95%，实现超额收益19.02%。基金净值曲线（红线）长期高于指数基准（蓝线），而超额收益曲线（黄线）进一步直观体现了策略所产生的Alpha贡献。回测结果显示，增强策略在2024-08-01至2026-03-03期间，收益曲线稳健、回撤较小，长期表现出持续的超额收益，说明策略不仅能够有效捕捉市场趋势，还能够通过风险控制维持组合平滑性。</w:t>
      </w:r>
    </w:p>
    <w:p w14:paraId="773184E6">
      <w:pPr>
        <w:rPr>
          <w:rFonts w:hint="default"/>
          <w:lang w:val="en-US" w:eastAsia="zh-CN"/>
        </w:rPr>
      </w:pPr>
    </w:p>
    <w:p w14:paraId="4787A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策略的有效性可从CTA多因子横截面逻辑得到解释。首先，通过对指数成分商品的横截面因子进行分析（如动量、展期收益、偏度等），对各品种进行排序并生成主动权重偏离（Δw），实现超配强势品种、低配弱势品种，从而获取Alpha收益。其次，通过风险归一化与资金约束处理，保证整体组合暴露仍接近指数基线，兼顾Beta收益与Alpha贡献。多因子组合叠加、横截面分散和风险平价方法进一步提高了策略的稳健性，避免单一因子过度集中风险。</w:t>
      </w:r>
    </w:p>
    <w:p w14:paraId="3843A34C">
      <w:pPr>
        <w:rPr>
          <w:rFonts w:hint="default"/>
          <w:lang w:val="en-US" w:eastAsia="zh-CN"/>
        </w:rPr>
      </w:pPr>
    </w:p>
    <w:p w14:paraId="2458F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望未来，该类指数增强策略在量化领域具有可持续开发价值。一方面，可继续优化横截面因子体系，结合板块轮动和多周期动量因子提升Alpha质量；另一方面，可通过约束优化、波动率加权及多空Overlay策略，平衡收益与跟踪误差，提升策略的可执行性和市场适应性。总体而言，指数增强策略在提供稳健Beta收益的基础上，通过多因子CTA横截面分析实现Alpha叠加，展示了量化研究在商品市场中可落地的策略潜力</w:t>
      </w:r>
    </w:p>
    <w:p w14:paraId="6ED7CCDF">
      <w:pPr>
        <w:rPr>
          <w:rFonts w:hint="default"/>
          <w:lang w:val="en-US" w:eastAsia="zh-CN"/>
        </w:rPr>
      </w:pPr>
    </w:p>
    <w:p w14:paraId="2FF6342B">
      <w:pPr>
        <w:rPr>
          <w:rFonts w:hint="default"/>
          <w:lang w:val="en-US" w:eastAsia="zh-CN"/>
        </w:rPr>
      </w:pPr>
    </w:p>
    <w:p w14:paraId="1AE1FB59">
      <w:pPr>
        <w:rPr>
          <w:rFonts w:hint="default"/>
          <w:lang w:val="en-US" w:eastAsia="zh-CN"/>
        </w:rPr>
      </w:pPr>
    </w:p>
    <w:p w14:paraId="4CBDF7BC">
      <w:pPr>
        <w:rPr>
          <w:rFonts w:hint="default"/>
          <w:lang w:val="en-US" w:eastAsia="zh-CN"/>
        </w:rPr>
      </w:pPr>
    </w:p>
    <w:p w14:paraId="0F00DB0A">
      <w:pPr>
        <w:rPr>
          <w:rFonts w:hint="default"/>
          <w:lang w:val="en-US" w:eastAsia="zh-CN"/>
        </w:rPr>
      </w:pPr>
    </w:p>
    <w:p w14:paraId="674884CD">
      <w:pPr>
        <w:rPr>
          <w:rFonts w:hint="default"/>
          <w:lang w:val="en-US" w:eastAsia="zh-CN"/>
        </w:rPr>
      </w:pPr>
    </w:p>
    <w:p w14:paraId="4A95B17B">
      <w:pPr>
        <w:rPr>
          <w:rFonts w:hint="default"/>
          <w:lang w:val="en-US" w:eastAsia="zh-CN"/>
        </w:rPr>
      </w:pPr>
    </w:p>
    <w:p w14:paraId="306CE7CC">
      <w:pPr>
        <w:rPr>
          <w:rFonts w:hint="default"/>
          <w:lang w:val="en-US" w:eastAsia="zh-CN"/>
        </w:rPr>
      </w:pPr>
    </w:p>
    <w:p w14:paraId="5063FF19">
      <w:pPr>
        <w:rPr>
          <w:rFonts w:hint="default"/>
          <w:lang w:val="en-US" w:eastAsia="zh-CN"/>
        </w:rPr>
      </w:pPr>
    </w:p>
    <w:p w14:paraId="636F7ED0">
      <w:pPr>
        <w:rPr>
          <w:rFonts w:hint="default"/>
          <w:lang w:val="en-US" w:eastAsia="zh-CN"/>
        </w:rPr>
      </w:pPr>
    </w:p>
    <w:p w14:paraId="7847AAD7">
      <w:pPr>
        <w:rPr>
          <w:rFonts w:hint="default"/>
          <w:lang w:val="en-US" w:eastAsia="zh-CN"/>
        </w:rPr>
      </w:pPr>
    </w:p>
    <w:p w14:paraId="7C08A972">
      <w:pPr>
        <w:rPr>
          <w:rFonts w:hint="default"/>
          <w:lang w:val="en-US" w:eastAsia="zh-CN"/>
        </w:rPr>
      </w:pPr>
    </w:p>
    <w:p w14:paraId="759EADF7">
      <w:pPr>
        <w:rPr>
          <w:rFonts w:hint="default"/>
          <w:lang w:val="en-US" w:eastAsia="zh-CN"/>
        </w:rPr>
      </w:pPr>
    </w:p>
    <w:p w14:paraId="75DCE5EC">
      <w:pPr>
        <w:rPr>
          <w:rFonts w:hint="default"/>
          <w:lang w:val="en-US" w:eastAsia="zh-CN"/>
        </w:rPr>
      </w:pPr>
    </w:p>
    <w:p w14:paraId="7B672AA9">
      <w:pPr>
        <w:rPr>
          <w:rFonts w:hint="default"/>
          <w:lang w:val="en-US" w:eastAsia="zh-CN"/>
        </w:rPr>
      </w:pPr>
    </w:p>
    <w:p w14:paraId="1E67E2F7">
      <w:pPr>
        <w:rPr>
          <w:rFonts w:hint="default"/>
          <w:lang w:val="en-US" w:eastAsia="zh-CN"/>
        </w:rPr>
      </w:pPr>
    </w:p>
    <w:p w14:paraId="7D65DB96">
      <w:pPr>
        <w:rPr>
          <w:rFonts w:hint="default"/>
          <w:lang w:val="en-US" w:eastAsia="zh-CN"/>
        </w:rPr>
      </w:pPr>
    </w:p>
    <w:p w14:paraId="024E03B1">
      <w:pPr>
        <w:rPr>
          <w:rFonts w:hint="default"/>
          <w:lang w:val="en-US" w:eastAsia="zh-CN"/>
        </w:rPr>
      </w:pPr>
    </w:p>
    <w:p w14:paraId="789494E0">
      <w:pPr>
        <w:rPr>
          <w:rFonts w:hint="default"/>
          <w:lang w:val="en-US" w:eastAsia="zh-CN"/>
        </w:rPr>
      </w:pPr>
    </w:p>
    <w:p w14:paraId="5970DEAF">
      <w:pPr>
        <w:rPr>
          <w:rFonts w:hint="default"/>
          <w:lang w:val="en-US" w:eastAsia="zh-CN"/>
        </w:rPr>
      </w:pPr>
    </w:p>
    <w:p w14:paraId="3FF9DDA5">
      <w:pPr>
        <w:rPr>
          <w:rFonts w:hint="default"/>
          <w:lang w:val="en-US" w:eastAsia="zh-CN"/>
        </w:rPr>
      </w:pPr>
    </w:p>
    <w:p w14:paraId="6B265624">
      <w:pPr>
        <w:rPr>
          <w:rFonts w:hint="default"/>
          <w:lang w:val="en-US" w:eastAsia="zh-CN"/>
        </w:rPr>
      </w:pPr>
    </w:p>
    <w:p w14:paraId="03E0A81D">
      <w:pPr>
        <w:rPr>
          <w:rFonts w:hint="default"/>
          <w:lang w:val="en-US" w:eastAsia="zh-CN"/>
        </w:rPr>
      </w:pPr>
    </w:p>
    <w:p w14:paraId="595A4B72">
      <w:pPr>
        <w:rPr>
          <w:rFonts w:hint="default"/>
          <w:lang w:val="en-US" w:eastAsia="zh-CN"/>
        </w:rPr>
      </w:pPr>
    </w:p>
    <w:p w14:paraId="66F463D0">
      <w:pPr>
        <w:rPr>
          <w:rFonts w:hint="default"/>
          <w:lang w:val="en-US" w:eastAsia="zh-CN"/>
        </w:rPr>
      </w:pPr>
    </w:p>
    <w:p w14:paraId="729BC7AB">
      <w:pPr>
        <w:rPr>
          <w:rFonts w:hint="default"/>
          <w:lang w:val="en-US" w:eastAsia="zh-CN"/>
        </w:rPr>
      </w:pPr>
    </w:p>
    <w:p w14:paraId="55A50B5B">
      <w:pPr>
        <w:rPr>
          <w:rFonts w:hint="default"/>
          <w:lang w:val="en-US" w:eastAsia="zh-CN"/>
        </w:rPr>
      </w:pPr>
    </w:p>
    <w:p w14:paraId="79BA54F3">
      <w:pPr>
        <w:rPr>
          <w:rFonts w:hint="default"/>
          <w:lang w:val="en-US" w:eastAsia="zh-CN"/>
        </w:rPr>
      </w:pPr>
    </w:p>
    <w:p w14:paraId="2CB4E4A6">
      <w:pPr>
        <w:rPr>
          <w:rFonts w:hint="default"/>
          <w:lang w:val="en-US" w:eastAsia="zh-CN"/>
        </w:rPr>
      </w:pPr>
    </w:p>
    <w:p w14:paraId="0E341216">
      <w:pPr>
        <w:rPr>
          <w:rFonts w:hint="default"/>
          <w:lang w:val="en-US" w:eastAsia="zh-CN"/>
        </w:rPr>
      </w:pPr>
    </w:p>
    <w:p w14:paraId="50BEA086">
      <w:pPr>
        <w:rPr>
          <w:rFonts w:hint="default"/>
          <w:lang w:val="en-US" w:eastAsia="zh-CN"/>
        </w:rPr>
      </w:pPr>
    </w:p>
    <w:p w14:paraId="1DF7E4DF">
      <w:pPr>
        <w:rPr>
          <w:rFonts w:hint="default"/>
          <w:lang w:val="en-US" w:eastAsia="zh-CN"/>
        </w:rPr>
      </w:pPr>
    </w:p>
    <w:p w14:paraId="560DA8C8">
      <w:pPr>
        <w:rPr>
          <w:rFonts w:hint="default"/>
          <w:lang w:val="en-US" w:eastAsia="zh-CN"/>
        </w:rPr>
      </w:pPr>
    </w:p>
    <w:p w14:paraId="7F345DBE">
      <w:pPr>
        <w:rPr>
          <w:rFonts w:hint="default"/>
          <w:lang w:val="en-US" w:eastAsia="zh-CN"/>
        </w:rPr>
      </w:pPr>
    </w:p>
    <w:p w14:paraId="19E63475">
      <w:pPr>
        <w:rPr>
          <w:rFonts w:hint="default"/>
          <w:lang w:val="en-US" w:eastAsia="zh-CN"/>
        </w:rPr>
      </w:pPr>
    </w:p>
    <w:p w14:paraId="255D7FD5">
      <w:pPr>
        <w:rPr>
          <w:rFonts w:hint="default"/>
          <w:lang w:val="en-US" w:eastAsia="zh-CN"/>
        </w:rPr>
      </w:pPr>
    </w:p>
    <w:p w14:paraId="4C4E0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产品类型：量化CTA多策略组合 + 指数增强</w:t>
      </w:r>
    </w:p>
    <w:p w14:paraId="2B348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底层资产：全球商品期货（55种境内+31种境外）</w:t>
      </w:r>
    </w:p>
    <w:p w14:paraId="53124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核心目标：保留Beta收益的基础上获取Alpha</w:t>
      </w:r>
    </w:p>
    <w:p w14:paraId="189FA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子策略构成：</w:t>
      </w:r>
    </w:p>
    <w:p w14:paraId="6B708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趋势策略（动量）</w:t>
      </w:r>
    </w:p>
    <w:p w14:paraId="6D800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基差动量策略（展期收益）</w:t>
      </w:r>
    </w:p>
    <w:p w14:paraId="37EE7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偏度策略（均值回归）</w:t>
      </w:r>
    </w:p>
    <w:p w14:paraId="18C83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风险管理：波动率控制8%，策略多元化，相关性低</w:t>
      </w:r>
    </w:p>
    <w:p w14:paraId="13F61A18">
      <w:pPr>
        <w:rPr>
          <w:rFonts w:hint="default"/>
          <w:lang w:val="en-US" w:eastAsia="zh-CN"/>
        </w:rPr>
      </w:pPr>
    </w:p>
    <w:p w14:paraId="469EA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业绩表现</w:t>
      </w:r>
    </w:p>
    <w:p w14:paraId="37F6F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成立时间：1.6年</w:t>
      </w:r>
    </w:p>
    <w:p w14:paraId="7F0ED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累计收益：基金40.38%，指数17.95%，超额收益19.02%</w:t>
      </w:r>
    </w:p>
    <w:p w14:paraId="68E65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回撤及风险：最大回撤4.67%，夏普2.798</w:t>
      </w:r>
    </w:p>
    <w:p w14:paraId="6DF1F90A">
      <w:pPr>
        <w:rPr>
          <w:rFonts w:hint="default"/>
          <w:lang w:val="en-US" w:eastAsia="zh-CN"/>
        </w:rPr>
      </w:pPr>
    </w:p>
    <w:p w14:paraId="79C7E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CTA多因子横截面策略分析</w:t>
      </w:r>
    </w:p>
    <w:p w14:paraId="5F98B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横截面核心逻辑：对指数成分品种进行因子分析 → 排序 → 多空组合</w:t>
      </w:r>
    </w:p>
    <w:p w14:paraId="1D28E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因子类型：动量、展期收益、偏度</w:t>
      </w:r>
    </w:p>
    <w:p w14:paraId="5CE38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Δw生成方法：</w:t>
      </w:r>
    </w:p>
    <w:p w14:paraId="373D0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风险调整（σ_i）</w:t>
      </w:r>
    </w:p>
    <w:p w14:paraId="79525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去均值处理保证总资金约束</w:t>
      </w:r>
    </w:p>
    <w:p w14:paraId="0D493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Alpha贡献：通过Δw实现超配强势、低配弱势</w:t>
      </w:r>
    </w:p>
    <w:p w14:paraId="3AC26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与CMS指数关联：三条子策略可视为横截面多因子信号的实际实现</w:t>
      </w:r>
    </w:p>
    <w:p w14:paraId="209892B9">
      <w:pPr>
        <w:rPr>
          <w:rFonts w:hint="default"/>
          <w:lang w:val="en-US" w:eastAsia="zh-CN"/>
        </w:rPr>
      </w:pPr>
    </w:p>
    <w:p w14:paraId="09DBA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指数增强策略方法</w:t>
      </w:r>
    </w:p>
    <w:p w14:paraId="0A3A7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权重调整法：在指数权重上进行因子驱动超配/低配，控制tracking error</w:t>
      </w:r>
    </w:p>
    <w:p w14:paraId="2B13C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多空叠加法：指数组合 + 横截面多空组合叠加，Alpha空间大，波动增加</w:t>
      </w:r>
    </w:p>
    <w:p w14:paraId="4D9B7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成分替代法：替换弱势资产为更强资产，主动性高，Beta漂移大</w:t>
      </w:r>
    </w:p>
    <w:p w14:paraId="7E1E9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扩展方法：风险再分配、板块轮动、优化约束</w:t>
      </w:r>
    </w:p>
    <w:p w14:paraId="05E48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可执行建议：以权重调整 + 风险归一化为第一步，叠加其他方法逐步优化</w:t>
      </w:r>
    </w:p>
    <w:p w14:paraId="7F50F859">
      <w:pPr>
        <w:rPr>
          <w:rFonts w:hint="default"/>
          <w:lang w:val="en-US" w:eastAsia="zh-CN"/>
        </w:rPr>
      </w:pPr>
    </w:p>
    <w:p w14:paraId="6E56AD94">
      <w:pPr>
        <w:rPr>
          <w:rFonts w:hint="default"/>
          <w:lang w:val="en-US" w:eastAsia="zh-CN"/>
        </w:rPr>
      </w:pPr>
    </w:p>
    <w:p w14:paraId="0B8A0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指数增强策略仍在国内市场少见，具有开发价值</w:t>
      </w:r>
    </w:p>
    <w:p w14:paraId="7B8C8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多因子CTA横截面策略能够提供稳健Alpha</w:t>
      </w:r>
    </w:p>
    <w:p w14:paraId="172F7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可执行方向：</w:t>
      </w:r>
    </w:p>
    <w:p w14:paraId="0922B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优化因子组合、板块轮动、波动率加权</w:t>
      </w:r>
    </w:p>
    <w:p w14:paraId="234EED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控制Beta暴露与tracking error</w:t>
      </w:r>
    </w:p>
    <w:p w14:paraId="562E3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总结：策略在保持指数收益的基础上，通过横截面多因子优化实现超额收益，可持续开发与改进</w:t>
      </w:r>
    </w:p>
    <w:p w14:paraId="107BA022">
      <w:pPr>
        <w:rPr>
          <w:rFonts w:hint="default"/>
          <w:lang w:val="en-US" w:eastAsia="zh-CN"/>
        </w:rPr>
      </w:pPr>
    </w:p>
    <w:p w14:paraId="2D3D6B61">
      <w:pPr>
        <w:rPr>
          <w:rFonts w:hint="default"/>
          <w:lang w:val="en-US" w:eastAsia="zh-CN"/>
        </w:rPr>
      </w:pPr>
    </w:p>
    <w:p w14:paraId="1DD6CF5A">
      <w:pPr>
        <w:rPr>
          <w:rFonts w:hint="default"/>
          <w:lang w:val="en-US" w:eastAsia="zh-CN"/>
        </w:rPr>
      </w:pPr>
    </w:p>
    <w:p w14:paraId="23599252">
      <w:pPr>
        <w:rPr>
          <w:rFonts w:hint="default"/>
          <w:lang w:val="en-US" w:eastAsia="zh-CN"/>
        </w:rPr>
      </w:pPr>
    </w:p>
    <w:p w14:paraId="6AB0F297">
      <w:pPr>
        <w:rPr>
          <w:rFonts w:hint="default"/>
          <w:lang w:val="en-US" w:eastAsia="zh-CN"/>
        </w:rPr>
      </w:pPr>
    </w:p>
    <w:p w14:paraId="67CBEFCD">
      <w:pPr>
        <w:rPr>
          <w:rFonts w:hint="default"/>
          <w:lang w:val="en-US" w:eastAsia="zh-CN"/>
        </w:rPr>
      </w:pPr>
    </w:p>
    <w:p w14:paraId="734BD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策略核心 = 指数（Beta） + 多因子横截面（Alpha）</w:t>
      </w:r>
    </w:p>
    <w:p w14:paraId="179A7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因子包括动量、展期收益、偏度</w:t>
      </w:r>
    </w:p>
    <w:p w14:paraId="2112E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Δw生成：横截面排序 → 风险调整 → 去均值 → 权重偏离</w:t>
      </w:r>
    </w:p>
    <w:p w14:paraId="64D14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增强方法：权重调整、叠加多空、成分替代</w:t>
      </w:r>
    </w:p>
    <w:p w14:paraId="0A147CA1">
      <w:pPr>
        <w:rPr>
          <w:rFonts w:hint="default"/>
          <w:lang w:val="en-US" w:eastAsia="zh-CN"/>
        </w:rPr>
      </w:pPr>
    </w:p>
    <w:p w14:paraId="76CC1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**与指数增强关系**：</w:t>
      </w:r>
    </w:p>
    <w:p w14:paraId="1F1FD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指数是基础收益（Beta）</w:t>
      </w:r>
    </w:p>
    <w:p w14:paraId="2B953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横截面因子和Δw决定Alpha贡献，即增强部分</w:t>
      </w:r>
    </w:p>
    <w:p w14:paraId="2104B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权重调整和多空叠加就是直接在指数上做主动偏离</w:t>
      </w:r>
    </w:p>
    <w:p w14:paraId="3C06445B">
      <w:pPr>
        <w:rPr>
          <w:rFonts w:hint="default"/>
          <w:lang w:val="en-US" w:eastAsia="zh-CN"/>
        </w:rPr>
      </w:pPr>
    </w:p>
    <w:p w14:paraId="43A02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**可实现性**：</w:t>
      </w:r>
    </w:p>
    <w:p w14:paraId="70B9665C">
      <w:pPr>
        <w:rPr>
          <w:rFonts w:hint="default"/>
          <w:lang w:val="en-US" w:eastAsia="zh-CN"/>
        </w:rPr>
      </w:pPr>
    </w:p>
    <w:p w14:paraId="686B5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数据需求：指数成分、主力合约价格、波动率</w:t>
      </w:r>
    </w:p>
    <w:p w14:paraId="391A0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可落地方法：动量因子+Δw+权重调整</w:t>
      </w:r>
    </w:p>
    <w:p w14:paraId="26DF1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可以回测，并生成可视化基金净值和超额收益曲线</w:t>
      </w:r>
    </w:p>
    <w:p w14:paraId="160CA242">
      <w:pPr>
        <w:rPr>
          <w:rFonts w:hint="default"/>
          <w:lang w:val="en-US" w:eastAsia="zh-CN"/>
        </w:rPr>
      </w:pPr>
    </w:p>
    <w:p w14:paraId="7BA0A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</w:t>
      </w:r>
    </w:p>
    <w:p w14:paraId="3257C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**信息点**：</w:t>
      </w:r>
    </w:p>
    <w:p w14:paraId="5987D13D">
      <w:pPr>
        <w:rPr>
          <w:rFonts w:hint="default"/>
          <w:lang w:val="en-US" w:eastAsia="zh-CN"/>
        </w:rPr>
      </w:pPr>
    </w:p>
    <w:p w14:paraId="1D28E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基金底层资产：55种境内 + 31种境外商品期货</w:t>
      </w:r>
    </w:p>
    <w:p w14:paraId="27135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子策略：趋势策略、基差动量策略、偏度策略</w:t>
      </w:r>
    </w:p>
    <w:p w14:paraId="62F73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风控：波动率目标 8%，风险平价组合</w:t>
      </w:r>
    </w:p>
    <w:p w14:paraId="2D229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实盘业绩：累计收益 40.38%，超额收益 19.02%，回撤 4.67%，夏普 2.798</w:t>
      </w:r>
    </w:p>
    <w:p w14:paraId="5FFC0135">
      <w:pPr>
        <w:rPr>
          <w:rFonts w:hint="default"/>
          <w:lang w:val="en-US" w:eastAsia="zh-CN"/>
        </w:rPr>
      </w:pPr>
    </w:p>
    <w:p w14:paraId="7ED6A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**与指数增强关系**：</w:t>
      </w:r>
    </w:p>
    <w:p w14:paraId="30214D84">
      <w:pPr>
        <w:rPr>
          <w:rFonts w:hint="default"/>
          <w:lang w:val="en-US" w:eastAsia="zh-CN"/>
        </w:rPr>
      </w:pPr>
    </w:p>
    <w:p w14:paraId="041C5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Beta部分 = 跟踪商品指数</w:t>
      </w:r>
    </w:p>
    <w:p w14:paraId="2BDD0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Alpha部分 = 三条子策略对应横截面因子增强</w:t>
      </w:r>
    </w:p>
    <w:p w14:paraId="641E9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风控与等风险组合保证增强后不偏离过多指数（控制tracking error）</w:t>
      </w:r>
    </w:p>
    <w:p w14:paraId="64EE5A0D">
      <w:pPr>
        <w:rPr>
          <w:rFonts w:hint="default"/>
          <w:lang w:val="en-US" w:eastAsia="zh-CN"/>
        </w:rPr>
      </w:pPr>
    </w:p>
    <w:p w14:paraId="5FA3D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**可实现性**：</w:t>
      </w:r>
    </w:p>
    <w:p w14:paraId="5BFFC306">
      <w:pPr>
        <w:rPr>
          <w:rFonts w:hint="default"/>
          <w:lang w:val="en-US" w:eastAsia="zh-CN"/>
        </w:rPr>
      </w:pPr>
    </w:p>
    <w:p w14:paraId="6A396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完整策略可回测</w:t>
      </w:r>
    </w:p>
    <w:p w14:paraId="122C7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可通过多因子信号生成Δw进行权重调整</w:t>
      </w:r>
    </w:p>
    <w:p w14:paraId="1F7C6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风控机制可直接落地：波动率控制 + 风险平价组合</w:t>
      </w:r>
    </w:p>
    <w:p w14:paraId="161DEC5C">
      <w:pPr>
        <w:rPr>
          <w:rFonts w:hint="default"/>
          <w:lang w:val="en-US" w:eastAsia="zh-CN"/>
        </w:rPr>
      </w:pPr>
    </w:p>
    <w:p w14:paraId="2124569A">
      <w:pPr>
        <w:rPr>
          <w:rFonts w:hint="default"/>
          <w:lang w:val="en-US" w:eastAsia="zh-CN"/>
        </w:rPr>
      </w:pPr>
    </w:p>
    <w:p w14:paraId="0B65E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**信息点**：</w:t>
      </w:r>
    </w:p>
    <w:p w14:paraId="410B34B8">
      <w:pPr>
        <w:rPr>
          <w:rFonts w:hint="default"/>
          <w:lang w:val="en-US" w:eastAsia="zh-CN"/>
        </w:rPr>
      </w:pPr>
    </w:p>
    <w:p w14:paraId="16153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基金累计收益明显跑赢指数</w:t>
      </w:r>
    </w:p>
    <w:p w14:paraId="15C3C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超额收益曲线显示Alpha累积</w:t>
      </w:r>
    </w:p>
    <w:p w14:paraId="1AF53717">
      <w:pPr>
        <w:rPr>
          <w:rFonts w:hint="default"/>
          <w:lang w:val="en-US" w:eastAsia="zh-CN"/>
        </w:rPr>
      </w:pPr>
    </w:p>
    <w:p w14:paraId="2CCC4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**与指数增强关系**：</w:t>
      </w:r>
    </w:p>
    <w:p w14:paraId="028CF62C">
      <w:pPr>
        <w:rPr>
          <w:rFonts w:hint="default"/>
          <w:lang w:val="en-US" w:eastAsia="zh-CN"/>
        </w:rPr>
      </w:pPr>
    </w:p>
    <w:p w14:paraId="69136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红线：Beta + Alpha</w:t>
      </w:r>
    </w:p>
    <w:p w14:paraId="105D0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蓝线：Beta基线</w:t>
      </w:r>
    </w:p>
    <w:p w14:paraId="6E6A0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黄线：Alpha贡献，可视化体现增强效果</w:t>
      </w:r>
    </w:p>
    <w:p w14:paraId="467EAEC1">
      <w:pPr>
        <w:rPr>
          <w:rFonts w:hint="default"/>
          <w:lang w:val="en-US" w:eastAsia="zh-CN"/>
        </w:rPr>
      </w:pPr>
    </w:p>
    <w:p w14:paraId="5A293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**可实现性**：</w:t>
      </w:r>
    </w:p>
    <w:p w14:paraId="3E267414">
      <w:pPr>
        <w:rPr>
          <w:rFonts w:hint="default"/>
          <w:lang w:val="en-US" w:eastAsia="zh-CN"/>
        </w:rPr>
      </w:pPr>
    </w:p>
    <w:p w14:paraId="66E00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可验证Δw权重偏离是否有效</w:t>
      </w:r>
    </w:p>
    <w:p w14:paraId="559AA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可回测单因子或组合因子对超额收益的贡献</w:t>
      </w:r>
    </w:p>
    <w:p w14:paraId="3D25799E">
      <w:pPr>
        <w:rPr>
          <w:rFonts w:hint="default"/>
          <w:lang w:val="en-US" w:eastAsia="zh-CN"/>
        </w:rPr>
      </w:pPr>
    </w:p>
    <w:p w14:paraId="0FE03E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另一张图</w:t>
      </w:r>
    </w:p>
    <w:p w14:paraId="6CD7E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回测时间：2024-08-01 ~ 2026-03-03</w:t>
      </w:r>
    </w:p>
    <w:p w14:paraId="5FA13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增强策略收益高于基准指数</w:t>
      </w:r>
    </w:p>
    <w:p w14:paraId="400D8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曲线平滑、回撤较小</w:t>
      </w:r>
    </w:p>
    <w:p w14:paraId="40AE0A35">
      <w:pPr>
        <w:rPr>
          <w:rFonts w:hint="default"/>
          <w:lang w:val="en-US" w:eastAsia="zh-CN"/>
        </w:rPr>
      </w:pPr>
    </w:p>
    <w:p w14:paraId="1A515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**与指数增强关系**：</w:t>
      </w:r>
    </w:p>
    <w:p w14:paraId="637EA62F">
      <w:pPr>
        <w:rPr>
          <w:rFonts w:hint="default"/>
          <w:lang w:val="en-US" w:eastAsia="zh-CN"/>
        </w:rPr>
      </w:pPr>
    </w:p>
    <w:p w14:paraId="3AF1C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直观体现指数增强策略在回测期内有效获取Alpha</w:t>
      </w:r>
    </w:p>
    <w:p w14:paraId="2AE21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平滑曲线说明多因子横截面分散风险成功</w:t>
      </w:r>
    </w:p>
    <w:p w14:paraId="54248BDB">
      <w:pPr>
        <w:rPr>
          <w:rFonts w:hint="default"/>
          <w:lang w:val="en-US" w:eastAsia="zh-CN"/>
        </w:rPr>
      </w:pPr>
    </w:p>
    <w:p w14:paraId="6FF50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**可实现性**：</w:t>
      </w:r>
    </w:p>
    <w:p w14:paraId="074DE5F6">
      <w:pPr>
        <w:rPr>
          <w:rFonts w:hint="default"/>
          <w:lang w:val="en-US" w:eastAsia="zh-CN"/>
        </w:rPr>
      </w:pPr>
    </w:p>
    <w:p w14:paraId="26D02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可以做MVP版本：先单因子+Δw+风险归一化回测</w:t>
      </w:r>
    </w:p>
    <w:p w14:paraId="12A19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再扩展到多因子组合和多策略叠加</w:t>
      </w:r>
    </w:p>
    <w:p w14:paraId="1D29CEBD">
      <w:pPr>
        <w:rPr>
          <w:rFonts w:hint="default"/>
          <w:lang w:val="en-US" w:eastAsia="zh-CN"/>
        </w:rPr>
      </w:pPr>
    </w:p>
    <w:p w14:paraId="77F09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6A67C2B">
      <w:pPr>
        <w:rPr>
          <w:rFonts w:hint="default"/>
          <w:lang w:val="en-US" w:eastAsia="zh-CN"/>
        </w:rPr>
      </w:pPr>
    </w:p>
    <w:p w14:paraId="48F71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CTA多因子横截面逻辑</w:t>
      </w:r>
    </w:p>
    <w:p w14:paraId="5E08FEEB">
      <w:pPr>
        <w:rPr>
          <w:rFonts w:hint="default"/>
          <w:lang w:val="en-US" w:eastAsia="zh-CN"/>
        </w:rPr>
      </w:pPr>
    </w:p>
    <w:p w14:paraId="0FCF4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对指数成分做横截面因子排序</w:t>
      </w:r>
    </w:p>
    <w:p w14:paraId="056A5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生成Δw → 超配强势、低配弱势</w:t>
      </w:r>
    </w:p>
    <w:p w14:paraId="057FB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风险调整和去均值保证资金约束</w:t>
      </w:r>
    </w:p>
    <w:p w14:paraId="0267178D">
      <w:pPr>
        <w:rPr>
          <w:rFonts w:hint="default"/>
          <w:lang w:val="en-US" w:eastAsia="zh-CN"/>
        </w:rPr>
      </w:pPr>
    </w:p>
    <w:p w14:paraId="088E8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**与指数增强关系**：</w:t>
      </w:r>
    </w:p>
    <w:p w14:paraId="34EE6E8A">
      <w:pPr>
        <w:rPr>
          <w:rFonts w:hint="default"/>
          <w:lang w:val="en-US" w:eastAsia="zh-CN"/>
        </w:rPr>
      </w:pPr>
    </w:p>
    <w:p w14:paraId="3DD75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Δw是增强Alpha的核心工具</w:t>
      </w:r>
    </w:p>
    <w:p w14:paraId="603F8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横截面因子直接决定权重偏离大小</w:t>
      </w:r>
    </w:p>
    <w:p w14:paraId="4780F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保留指数权重 = 保留Beta收益</w:t>
      </w:r>
    </w:p>
    <w:p w14:paraId="1A6D30AF">
      <w:pPr>
        <w:rPr>
          <w:rFonts w:hint="default"/>
          <w:lang w:val="en-US" w:eastAsia="zh-CN"/>
        </w:rPr>
      </w:pPr>
    </w:p>
    <w:p w14:paraId="6E7D7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**可实现性**：</w:t>
      </w:r>
    </w:p>
    <w:p w14:paraId="7CB74984">
      <w:pPr>
        <w:rPr>
          <w:rFonts w:hint="default"/>
          <w:lang w:val="en-US" w:eastAsia="zh-CN"/>
        </w:rPr>
      </w:pPr>
    </w:p>
    <w:p w14:paraId="65B752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因子：动量、展期收益、偏度</w:t>
      </w:r>
    </w:p>
    <w:p w14:paraId="26835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风险调整：用波动率σ_i做Scaling</w:t>
      </w:r>
    </w:p>
    <w:p w14:paraId="5EC8F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去均值保证ΣΔw = 0</w:t>
      </w:r>
    </w:p>
    <w:p w14:paraId="640B0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可以回测并计算Beta / Alpha贡献</w:t>
      </w:r>
    </w:p>
    <w:p w14:paraId="48111CAF">
      <w:pPr>
        <w:rPr>
          <w:rFonts w:hint="default"/>
          <w:lang w:val="en-US" w:eastAsia="zh-CN"/>
        </w:rPr>
      </w:pPr>
    </w:p>
    <w:p w14:paraId="4E260D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FE58E0D">
      <w:pPr>
        <w:rPr>
          <w:rFonts w:hint="default"/>
          <w:lang w:val="en-US" w:eastAsia="zh-CN"/>
        </w:rPr>
      </w:pPr>
    </w:p>
    <w:p w14:paraId="6780B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六、指数增强方法总结</w:t>
      </w:r>
    </w:p>
    <w:p w14:paraId="04B66898">
      <w:pPr>
        <w:rPr>
          <w:rFonts w:hint="default"/>
          <w:lang w:val="en-US" w:eastAsia="zh-CN"/>
        </w:rPr>
      </w:pPr>
    </w:p>
    <w:p w14:paraId="3F387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**方法及关系**：</w:t>
      </w:r>
    </w:p>
    <w:p w14:paraId="7FA57111">
      <w:pPr>
        <w:rPr>
          <w:rFonts w:hint="default"/>
          <w:lang w:val="en-US" w:eastAsia="zh-CN"/>
        </w:rPr>
      </w:pPr>
    </w:p>
    <w:p w14:paraId="70E61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**权重调整**</w:t>
      </w:r>
    </w:p>
    <w:p w14:paraId="5F41E87A">
      <w:pPr>
        <w:rPr>
          <w:rFonts w:hint="default"/>
          <w:lang w:val="en-US" w:eastAsia="zh-CN"/>
        </w:rPr>
      </w:pPr>
    </w:p>
    <w:p w14:paraId="5CDBB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在指数权重基础上加减Δw</w:t>
      </w:r>
    </w:p>
    <w:p w14:paraId="75B05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Beta约束明确，风险可控</w:t>
      </w:r>
    </w:p>
    <w:p w14:paraId="3F9C5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可落地、回测简单</w:t>
      </w:r>
    </w:p>
    <w:p w14:paraId="6EF16A85">
      <w:pPr>
        <w:rPr>
          <w:rFonts w:hint="default"/>
          <w:lang w:val="en-US" w:eastAsia="zh-CN"/>
        </w:rPr>
      </w:pPr>
    </w:p>
    <w:p w14:paraId="30D8C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**多空叠加**</w:t>
      </w:r>
    </w:p>
    <w:p w14:paraId="3A9B4987">
      <w:pPr>
        <w:rPr>
          <w:rFonts w:hint="default"/>
          <w:lang w:val="en-US" w:eastAsia="zh-CN"/>
        </w:rPr>
      </w:pPr>
    </w:p>
    <w:p w14:paraId="14F10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指数组合 + 横截面多空组合</w:t>
      </w:r>
    </w:p>
    <w:p w14:paraId="1E901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Alpha空间大，tracking error可控</w:t>
      </w:r>
    </w:p>
    <w:p w14:paraId="69393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风险调整后可回测，需注意杠杆</w:t>
      </w:r>
    </w:p>
    <w:p w14:paraId="649F665B">
      <w:pPr>
        <w:rPr>
          <w:rFonts w:hint="default"/>
          <w:lang w:val="en-US" w:eastAsia="zh-CN"/>
        </w:rPr>
      </w:pPr>
    </w:p>
    <w:p w14:paraId="2C8AC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**成分替代**</w:t>
      </w:r>
    </w:p>
    <w:p w14:paraId="68AC7229">
      <w:pPr>
        <w:rPr>
          <w:rFonts w:hint="default"/>
          <w:lang w:val="en-US" w:eastAsia="zh-CN"/>
        </w:rPr>
      </w:pPr>
    </w:p>
    <w:p w14:paraId="65964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弱资产替换强资产</w:t>
      </w:r>
    </w:p>
    <w:p w14:paraId="7F035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主动性高，但Beta漂移大</w:t>
      </w:r>
    </w:p>
    <w:p w14:paraId="77C6F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可在实盘中用，但需限制总暴露</w:t>
      </w:r>
    </w:p>
    <w:p w14:paraId="3F17BF99">
      <w:pPr>
        <w:rPr>
          <w:rFonts w:hint="default"/>
          <w:lang w:val="en-US" w:eastAsia="zh-CN"/>
        </w:rPr>
      </w:pPr>
    </w:p>
    <w:p w14:paraId="4E73D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**扩展增强**</w:t>
      </w:r>
    </w:p>
    <w:p w14:paraId="4AE6C459">
      <w:pPr>
        <w:rPr>
          <w:rFonts w:hint="default"/>
          <w:lang w:val="en-US" w:eastAsia="zh-CN"/>
        </w:rPr>
      </w:pPr>
    </w:p>
    <w:p w14:paraId="0D069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波动率加权、行业轮动、约束优化</w:t>
      </w:r>
    </w:p>
    <w:p w14:paraId="6E0C9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可实现更平滑收益曲线</w:t>
      </w:r>
    </w:p>
    <w:p w14:paraId="5BA504C1">
      <w:pPr>
        <w:rPr>
          <w:rFonts w:hint="default"/>
          <w:lang w:val="en-US" w:eastAsia="zh-CN"/>
        </w:rPr>
      </w:pPr>
    </w:p>
    <w:p w14:paraId="30253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**可实现性**：</w:t>
      </w:r>
    </w:p>
    <w:p w14:paraId="46A2D663">
      <w:pPr>
        <w:rPr>
          <w:rFonts w:hint="default"/>
          <w:lang w:val="en-US" w:eastAsia="zh-CN"/>
        </w:rPr>
      </w:pPr>
    </w:p>
    <w:p w14:paraId="46329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权重调整法是最稳妥的第一步</w:t>
      </w:r>
    </w:p>
    <w:p w14:paraId="33A5D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结合横截面因子和风险归一化可直接落地</w:t>
      </w:r>
    </w:p>
    <w:p w14:paraId="0FF5F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多空叠加和成分替代可作为第二阶段优化</w:t>
      </w:r>
    </w:p>
    <w:p w14:paraId="322B5B85">
      <w:pPr>
        <w:rPr>
          <w:rFonts w:hint="default"/>
          <w:lang w:val="en-US" w:eastAsia="zh-CN"/>
        </w:rPr>
      </w:pPr>
    </w:p>
    <w:p w14:paraId="351CD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A1A547B">
      <w:pPr>
        <w:rPr>
          <w:rFonts w:hint="default"/>
          <w:lang w:val="en-US" w:eastAsia="zh-CN"/>
        </w:rPr>
      </w:pPr>
    </w:p>
    <w:p w14:paraId="62AA9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七、整合结论</w:t>
      </w:r>
    </w:p>
    <w:p w14:paraId="6D94A1F2">
      <w:pPr>
        <w:rPr>
          <w:rFonts w:hint="default"/>
          <w:lang w:val="en-US" w:eastAsia="zh-CN"/>
        </w:rPr>
      </w:pPr>
    </w:p>
    <w:p w14:paraId="64E21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**指数增强 = Beta + Alpha**</w:t>
      </w:r>
    </w:p>
    <w:p w14:paraId="01943616">
      <w:pPr>
        <w:rPr>
          <w:rFonts w:hint="default"/>
          <w:lang w:val="en-US" w:eastAsia="zh-CN"/>
        </w:rPr>
      </w:pPr>
    </w:p>
    <w:p w14:paraId="78736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Beta部分：跟踪指数</w:t>
      </w:r>
    </w:p>
    <w:p w14:paraId="43A05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Alpha部分：CTA多因子横截面生成Δw偏离</w:t>
      </w:r>
    </w:p>
    <w:p w14:paraId="2059E81A">
      <w:pPr>
        <w:rPr>
          <w:rFonts w:hint="default"/>
          <w:lang w:val="en-US" w:eastAsia="zh-CN"/>
        </w:rPr>
      </w:pPr>
    </w:p>
    <w:p w14:paraId="4AF3F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**研报可落地路径**：</w:t>
      </w:r>
    </w:p>
    <w:p w14:paraId="6A3455BA">
      <w:pPr>
        <w:rPr>
          <w:rFonts w:hint="default"/>
          <w:lang w:val="en-US" w:eastAsia="zh-CN"/>
        </w:rPr>
      </w:pPr>
    </w:p>
    <w:p w14:paraId="41209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获取指数成分、价格数据</w:t>
      </w:r>
    </w:p>
    <w:p w14:paraId="248D0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构建单因子信号 → Δw → 权重调整</w:t>
      </w:r>
    </w:p>
    <w:p w14:paraId="6F426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风险归一化 + 回测</w:t>
      </w:r>
    </w:p>
    <w:p w14:paraId="48742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可扩展：多因子叠加、行业轮动、多空Overlay</w:t>
      </w:r>
    </w:p>
    <w:p w14:paraId="57C0DE04">
      <w:pPr>
        <w:rPr>
          <w:rFonts w:hint="default"/>
          <w:lang w:val="en-US" w:eastAsia="zh-CN"/>
        </w:rPr>
      </w:pPr>
    </w:p>
    <w:p w14:paraId="09CBE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**Alpha贡献可视化**：</w:t>
      </w:r>
    </w:p>
    <w:p w14:paraId="5E5CD8FF">
      <w:pPr>
        <w:rPr>
          <w:rFonts w:hint="default"/>
          <w:lang w:val="en-US" w:eastAsia="zh-CN"/>
        </w:rPr>
      </w:pPr>
    </w:p>
    <w:p w14:paraId="38C2C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红线（组合）- 蓝线（指数） = 黄线（Alpha）</w:t>
      </w:r>
    </w:p>
    <w:p w14:paraId="6C517202">
      <w:pPr>
        <w:rPr>
          <w:rFonts w:hint="default"/>
          <w:lang w:val="en-US" w:eastAsia="zh-CN"/>
        </w:rPr>
      </w:pPr>
    </w:p>
    <w:p w14:paraId="0B2E0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**市场价值**：</w:t>
      </w:r>
    </w:p>
    <w:p w14:paraId="349B0717">
      <w:pPr>
        <w:rPr>
          <w:rFonts w:hint="default"/>
          <w:lang w:val="en-US" w:eastAsia="zh-CN"/>
        </w:rPr>
      </w:pPr>
    </w:p>
    <w:p w14:paraId="01412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国内指数增强策略稀少</w:t>
      </w:r>
    </w:p>
    <w:p w14:paraId="3AE5D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可提供稳健Beta + 可回测Alpha组合</w:t>
      </w:r>
    </w:p>
    <w:p w14:paraId="6E41C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是量化研究可持续开发方向</w:t>
      </w:r>
    </w:p>
    <w:p w14:paraId="7736FA4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51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85FCC"/>
    <w:rsid w:val="47326C56"/>
    <w:rsid w:val="4EBB22C0"/>
    <w:rsid w:val="58DE5D8E"/>
    <w:rsid w:val="5DE40B6E"/>
    <w:rsid w:val="6B21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605</Words>
  <Characters>636</Characters>
  <Lines>0</Lines>
  <Paragraphs>0</Paragraphs>
  <TotalTime>56</TotalTime>
  <ScaleCrop>false</ScaleCrop>
  <LinksUpToDate>false</LinksUpToDate>
  <CharactersWithSpaces>643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2022-08-29T08:53:00Z</dcterms:created>
  <dc:creator>miki</dc:creator>
  <cp:lastModifiedBy>无敌之土豆</cp:lastModifiedBy>
  <dcterms:modified xsi:type="dcterms:W3CDTF">2026-04-22T07:11:52Z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8C561B52D0454E17B61819ABE5C103AD</vt:lpwstr>
  </property>
  <property fmtid="{D5CDD505-2E9C-101B-9397-08002B2CF9AE}" pid="4" name="KSOTemplateDocerSaveRecord">
    <vt:lpwstr>eyJoZGlkIjoiYTQ4YWMzZDUyMThkZWYyNWFlOWJmNDRhZGE4OGE2ZGUiLCJ1c2VySWQiOiI2NzM4OTUxNTcifQ==</vt:lpwstr>
  </property>
</Properties>
</file>