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OPExcelTableContent-3638"/>
        <w:tblW w:w="0" w:type="auto"/>
        <w:tblLook w:val="01E0" w:firstRow="1" w:lastRow="1" w:firstColumn="1" w:lastColumn="1" w:noHBand="0" w:noVBand="0"/>
      </w:tblPr>
      <w:tblGrid>
        <w:gridCol w:w="1395"/>
        <w:gridCol w:w="1553"/>
        <w:gridCol w:w="762"/>
        <w:gridCol w:w="974"/>
        <w:gridCol w:w="3592"/>
      </w:tblGrid>
      <w:tr w:rsidR="00D13C18" w14:paraId="44D615A3" w14:textId="77777777" w:rsidTr="00D13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5C01A" w14:textId="7CDE5B7D" w:rsidR="00D13C18" w:rsidRPr="00D13C18" w:rsidRDefault="00D13C18" w:rsidP="00D13C18">
            <w:pPr>
              <w:rPr>
                <w:rFonts w:ascii="Segoe UI" w:hAnsi="Segoe UI" w:cs="Segoe UI" w:hint="eastAsia"/>
                <w:color w:val="404040"/>
              </w:rPr>
            </w:pPr>
            <w:r w:rsidRPr="00D13C18">
              <w:rPr>
                <w:rFonts w:ascii="Segoe UI" w:hAnsi="Segoe UI" w:cs="Segoe UI"/>
                <w:color w:val="404040"/>
              </w:rPr>
              <w:t>变量缩写</w:t>
            </w:r>
          </w:p>
        </w:tc>
        <w:tc>
          <w:tcPr>
            <w:tcW w:w="0" w:type="auto"/>
          </w:tcPr>
          <w:p w14:paraId="75276EB9" w14:textId="41437C9C" w:rsidR="00D13C18" w:rsidRPr="00D13C18" w:rsidRDefault="00D13C18" w:rsidP="00D13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 w:hint="eastAsia"/>
                <w:color w:val="404040"/>
              </w:rPr>
            </w:pPr>
            <w:r w:rsidRPr="00D13C18">
              <w:rPr>
                <w:rFonts w:ascii="Segoe UI" w:hAnsi="Segoe UI" w:cs="Segoe UI"/>
                <w:color w:val="404040"/>
              </w:rPr>
              <w:t>全称</w:t>
            </w:r>
          </w:p>
        </w:tc>
        <w:tc>
          <w:tcPr>
            <w:tcW w:w="0" w:type="auto"/>
          </w:tcPr>
          <w:p w14:paraId="04CFA1C7" w14:textId="6EACC765" w:rsidR="00D13C18" w:rsidRPr="00D13C18" w:rsidRDefault="00D13C18" w:rsidP="00D13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 w:hint="eastAsia"/>
                <w:color w:val="404040"/>
              </w:rPr>
            </w:pPr>
            <w:r w:rsidRPr="00D13C18">
              <w:rPr>
                <w:rFonts w:ascii="Segoe UI" w:hAnsi="Segoe UI" w:cs="Segoe UI"/>
                <w:color w:val="404040"/>
              </w:rPr>
              <w:t>单位</w:t>
            </w:r>
          </w:p>
        </w:tc>
        <w:tc>
          <w:tcPr>
            <w:tcW w:w="0" w:type="auto"/>
          </w:tcPr>
          <w:p w14:paraId="2C7DF86E" w14:textId="0C2C9CCA" w:rsidR="00D13C18" w:rsidRPr="00D13C18" w:rsidRDefault="00D13C18" w:rsidP="00D13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 w:hint="eastAsia"/>
                <w:color w:val="404040"/>
              </w:rPr>
            </w:pPr>
            <w:r w:rsidRPr="00D13C18">
              <w:rPr>
                <w:rFonts w:ascii="Segoe UI" w:hAnsi="Segoe UI" w:cs="Segoe UI"/>
                <w:color w:val="404040"/>
              </w:rPr>
              <w:t>数据来源</w:t>
            </w:r>
          </w:p>
        </w:tc>
        <w:tc>
          <w:tcPr>
            <w:tcW w:w="0" w:type="auto"/>
          </w:tcPr>
          <w:p w14:paraId="77B06315" w14:textId="3F6CFF55" w:rsidR="00D13C18" w:rsidRPr="00D13C18" w:rsidRDefault="00D13C18" w:rsidP="00D13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 w:hint="eastAsia"/>
                <w:color w:val="404040"/>
              </w:rPr>
            </w:pPr>
            <w:r w:rsidRPr="00D13C18">
              <w:rPr>
                <w:rFonts w:ascii="Segoe UI" w:hAnsi="Segoe UI" w:cs="Segoe UI"/>
                <w:color w:val="404040"/>
              </w:rPr>
              <w:t>经济意义简要说明</w:t>
            </w:r>
          </w:p>
        </w:tc>
      </w:tr>
      <w:tr w:rsidR="00D13C18" w14:paraId="33701D33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8F58A" w14:textId="538C3406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US_GDP</w:t>
            </w:r>
          </w:p>
        </w:tc>
        <w:tc>
          <w:tcPr>
            <w:tcW w:w="0" w:type="auto"/>
          </w:tcPr>
          <w:p w14:paraId="46C09B7B" w14:textId="44B4A358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美国国内生产总值</w:t>
            </w:r>
          </w:p>
        </w:tc>
        <w:tc>
          <w:tcPr>
            <w:tcW w:w="0" w:type="auto"/>
          </w:tcPr>
          <w:p w14:paraId="66198A2F" w14:textId="60EB46A7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人民币亿元</w:t>
            </w:r>
          </w:p>
        </w:tc>
        <w:tc>
          <w:tcPr>
            <w:tcW w:w="0" w:type="auto"/>
          </w:tcPr>
          <w:p w14:paraId="7CD7185E" w14:textId="3D024CC9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62CED28C" w14:textId="1C4885E0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衡量美国经济总体规模和健康状况的总产出指标。</w:t>
            </w:r>
          </w:p>
        </w:tc>
      </w:tr>
      <w:tr w:rsidR="00D13C18" w14:paraId="4763C4D7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D0D48" w14:textId="2544A776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US_</w:t>
            </w:r>
            <w:r>
              <w:rPr>
                <w:rFonts w:ascii="Segoe UI" w:hAnsi="Segoe UI" w:cs="Segoe UI"/>
                <w:color w:val="404040"/>
              </w:rPr>
              <w:t>消费支出</w:t>
            </w:r>
          </w:p>
        </w:tc>
        <w:tc>
          <w:tcPr>
            <w:tcW w:w="0" w:type="auto"/>
          </w:tcPr>
          <w:p w14:paraId="4893889A" w14:textId="55D91F79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美国消费支出</w:t>
            </w:r>
          </w:p>
        </w:tc>
        <w:tc>
          <w:tcPr>
            <w:tcW w:w="0" w:type="auto"/>
          </w:tcPr>
          <w:p w14:paraId="5EEC691D" w14:textId="05995B59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人民币亿元</w:t>
            </w:r>
          </w:p>
        </w:tc>
        <w:tc>
          <w:tcPr>
            <w:tcW w:w="0" w:type="auto"/>
          </w:tcPr>
          <w:p w14:paraId="2E897054" w14:textId="67521882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69A7047B" w14:textId="53830F63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反映美国居民在商品和服务上的总支出，是经济增长的主要驱动力之一。</w:t>
            </w:r>
          </w:p>
        </w:tc>
      </w:tr>
      <w:tr w:rsidR="00D13C18" w14:paraId="455AA27A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343FF" w14:textId="65F232D6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CN_GDP</w:t>
            </w:r>
          </w:p>
        </w:tc>
        <w:tc>
          <w:tcPr>
            <w:tcW w:w="0" w:type="auto"/>
          </w:tcPr>
          <w:p w14:paraId="1BD469F3" w14:textId="17952ED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中国国内生产总值（不变价）</w:t>
            </w:r>
          </w:p>
        </w:tc>
        <w:tc>
          <w:tcPr>
            <w:tcW w:w="0" w:type="auto"/>
          </w:tcPr>
          <w:p w14:paraId="3EF160BA" w14:textId="51327B38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亿元</w:t>
            </w:r>
          </w:p>
        </w:tc>
        <w:tc>
          <w:tcPr>
            <w:tcW w:w="0" w:type="auto"/>
          </w:tcPr>
          <w:p w14:paraId="4D18840E" w14:textId="18ADE505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408EE7AD" w14:textId="6237A3D7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衡量中国经济总体规模和增长情况，剔除价格因素后的实际产出。</w:t>
            </w:r>
          </w:p>
        </w:tc>
      </w:tr>
      <w:tr w:rsidR="00D13C18" w14:paraId="19090315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7F8DD" w14:textId="0B9563B3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</w:t>
            </w:r>
            <w:r>
              <w:rPr>
                <w:rFonts w:ascii="Segoe UI" w:hAnsi="Segoe UI" w:cs="Segoe UI"/>
                <w:color w:val="404040"/>
              </w:rPr>
              <w:t>青年失业率</w:t>
            </w:r>
          </w:p>
        </w:tc>
        <w:tc>
          <w:tcPr>
            <w:tcW w:w="0" w:type="auto"/>
          </w:tcPr>
          <w:p w14:paraId="4FB30842" w14:textId="7D1E6F6A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中国青年失业率</w:t>
            </w:r>
          </w:p>
        </w:tc>
        <w:tc>
          <w:tcPr>
            <w:tcW w:w="0" w:type="auto"/>
          </w:tcPr>
          <w:p w14:paraId="22509AE1" w14:textId="13A527DA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%</w:t>
            </w:r>
          </w:p>
        </w:tc>
        <w:tc>
          <w:tcPr>
            <w:tcW w:w="0" w:type="auto"/>
          </w:tcPr>
          <w:p w14:paraId="0952677C" w14:textId="41F690DD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3958A6EF" w14:textId="2B2050BE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反映中国青年劳动力市场的就业状况，是经济健康和社会稳定的重要指标。</w:t>
            </w:r>
          </w:p>
        </w:tc>
      </w:tr>
      <w:tr w:rsidR="00D13C18" w14:paraId="6453C651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7F175" w14:textId="11C6566D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</w:t>
            </w:r>
            <w:r>
              <w:rPr>
                <w:rFonts w:ascii="Segoe UI" w:hAnsi="Segoe UI" w:cs="Segoe UI"/>
                <w:color w:val="404040"/>
              </w:rPr>
              <w:t>固定资产投资</w:t>
            </w:r>
          </w:p>
        </w:tc>
        <w:tc>
          <w:tcPr>
            <w:tcW w:w="0" w:type="auto"/>
          </w:tcPr>
          <w:p w14:paraId="5686CB27" w14:textId="00EE5F6E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中国固定资产投资</w:t>
            </w:r>
          </w:p>
        </w:tc>
        <w:tc>
          <w:tcPr>
            <w:tcW w:w="0" w:type="auto"/>
          </w:tcPr>
          <w:p w14:paraId="0C2C731C" w14:textId="53CFAB8B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亿元</w:t>
            </w:r>
          </w:p>
        </w:tc>
        <w:tc>
          <w:tcPr>
            <w:tcW w:w="0" w:type="auto"/>
          </w:tcPr>
          <w:p w14:paraId="2048A7C8" w14:textId="60F4D042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1E595663" w14:textId="2AE6545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衡量中国在基础设施、设备和其他长期资产上的投资，对经济增长具有重要推动作用。</w:t>
            </w:r>
          </w:p>
        </w:tc>
      </w:tr>
      <w:tr w:rsidR="00D13C18" w14:paraId="079628AC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BEDA9" w14:textId="613E3158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</w:t>
            </w:r>
            <w:r>
              <w:rPr>
                <w:rFonts w:ascii="Segoe UI" w:hAnsi="Segoe UI" w:cs="Segoe UI"/>
                <w:color w:val="404040"/>
              </w:rPr>
              <w:t>人口</w:t>
            </w:r>
          </w:p>
        </w:tc>
        <w:tc>
          <w:tcPr>
            <w:tcW w:w="0" w:type="auto"/>
          </w:tcPr>
          <w:p w14:paraId="02095D3E" w14:textId="29F7EF7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中国人口</w:t>
            </w:r>
          </w:p>
        </w:tc>
        <w:tc>
          <w:tcPr>
            <w:tcW w:w="0" w:type="auto"/>
          </w:tcPr>
          <w:p w14:paraId="3C4AB5EB" w14:textId="27AA4A53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亿人</w:t>
            </w:r>
          </w:p>
        </w:tc>
        <w:tc>
          <w:tcPr>
            <w:tcW w:w="0" w:type="auto"/>
          </w:tcPr>
          <w:p w14:paraId="1931BA2A" w14:textId="4AF21E6E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23BF93CF" w14:textId="4586385A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反映中国的人口规模，是劳动力和市场需求的基础。</w:t>
            </w:r>
          </w:p>
        </w:tc>
      </w:tr>
      <w:tr w:rsidR="00D13C18" w14:paraId="65D3C2AC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2F201" w14:textId="492CBF18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</w:t>
            </w:r>
            <w:r>
              <w:rPr>
                <w:rFonts w:ascii="Segoe UI" w:hAnsi="Segoe UI" w:cs="Segoe UI"/>
                <w:color w:val="404040"/>
              </w:rPr>
              <w:t>最终消费</w:t>
            </w:r>
          </w:p>
        </w:tc>
        <w:tc>
          <w:tcPr>
            <w:tcW w:w="0" w:type="auto"/>
          </w:tcPr>
          <w:p w14:paraId="542AC796" w14:textId="54ABD2DC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中国最终消费</w:t>
            </w:r>
          </w:p>
        </w:tc>
        <w:tc>
          <w:tcPr>
            <w:tcW w:w="0" w:type="auto"/>
          </w:tcPr>
          <w:p w14:paraId="08379A51" w14:textId="5EC5254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亿元</w:t>
            </w:r>
          </w:p>
        </w:tc>
        <w:tc>
          <w:tcPr>
            <w:tcW w:w="0" w:type="auto"/>
          </w:tcPr>
          <w:p w14:paraId="5827BA37" w14:textId="4C33E91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071FB0F1" w14:textId="7E81D817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衡量中国居民和政府在商品和服务上的总支出，是经济增长的主要组成部分。</w:t>
            </w:r>
          </w:p>
        </w:tc>
      </w:tr>
      <w:tr w:rsidR="00D13C18" w14:paraId="1AC4F533" w14:textId="77777777" w:rsidTr="00D13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03860" w14:textId="564BE829" w:rsidR="00D13C18" w:rsidRDefault="00D13C18" w:rsidP="00D13C18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CN_</w:t>
            </w:r>
            <w:r>
              <w:rPr>
                <w:rFonts w:ascii="Segoe UI" w:hAnsi="Segoe UI" w:cs="Segoe UI"/>
                <w:color w:val="404040"/>
              </w:rPr>
              <w:t>资本形成</w:t>
            </w:r>
          </w:p>
        </w:tc>
        <w:tc>
          <w:tcPr>
            <w:tcW w:w="0" w:type="auto"/>
          </w:tcPr>
          <w:p w14:paraId="3FDF5FF7" w14:textId="391645D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中国资本形成总额</w:t>
            </w:r>
          </w:p>
        </w:tc>
        <w:tc>
          <w:tcPr>
            <w:tcW w:w="0" w:type="auto"/>
          </w:tcPr>
          <w:p w14:paraId="77715D32" w14:textId="2681ED86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亿元</w:t>
            </w:r>
          </w:p>
        </w:tc>
        <w:tc>
          <w:tcPr>
            <w:tcW w:w="0" w:type="auto"/>
          </w:tcPr>
          <w:p w14:paraId="53113888" w14:textId="6181EBCB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同花顺</w:t>
            </w:r>
            <w:proofErr w:type="spellStart"/>
            <w:r>
              <w:rPr>
                <w:rFonts w:ascii="Segoe UI" w:hAnsi="Segoe UI" w:cs="Segoe UI"/>
                <w:color w:val="404040"/>
              </w:rPr>
              <w:t>iFinD</w:t>
            </w:r>
            <w:proofErr w:type="spellEnd"/>
          </w:p>
        </w:tc>
        <w:tc>
          <w:tcPr>
            <w:tcW w:w="0" w:type="auto"/>
          </w:tcPr>
          <w:p w14:paraId="56B28C80" w14:textId="503FBAD7" w:rsidR="00D13C18" w:rsidRDefault="00D13C18" w:rsidP="00D13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>反映中国在实物资产上的投资，对长期经济增长至关重要。</w:t>
            </w:r>
          </w:p>
        </w:tc>
      </w:tr>
    </w:tbl>
    <w:p w14:paraId="4A61DFC2" w14:textId="21AC643B" w:rsidR="00426D60" w:rsidRPr="00D13C18" w:rsidRDefault="00426D60" w:rsidP="00D13C18">
      <w:pPr>
        <w:rPr>
          <w:rFonts w:ascii="仿宋_GB2312" w:eastAsia="仿宋_GB2312" w:hint="eastAsia"/>
          <w:sz w:val="28"/>
          <w:szCs w:val="28"/>
        </w:rPr>
      </w:pPr>
    </w:p>
    <w:sectPr w:rsidR="00426D60" w:rsidRPr="00D1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CDC7" w14:textId="77777777" w:rsidR="00D13C18" w:rsidRDefault="00D13C18" w:rsidP="00D13C1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E292DD" w14:textId="77777777" w:rsidR="00D13C18" w:rsidRDefault="00D13C18" w:rsidP="00D13C1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401FE" w14:textId="77777777" w:rsidR="00D13C18" w:rsidRDefault="00D13C18" w:rsidP="00D13C1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F454E6" w14:textId="77777777" w:rsidR="00D13C18" w:rsidRDefault="00D13C18" w:rsidP="00D13C1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60"/>
    <w:rsid w:val="00426D60"/>
    <w:rsid w:val="00C445DE"/>
    <w:rsid w:val="00D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AAB2"/>
  <w15:chartTrackingRefBased/>
  <w15:docId w15:val="{ADC76E4B-02A9-489D-BBB2-42DDA37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D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D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D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D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D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D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D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D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D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6D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D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6D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D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D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D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6D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D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6D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D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D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D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D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D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3C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3C1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3C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3C18"/>
    <w:rPr>
      <w:sz w:val="18"/>
      <w:szCs w:val="18"/>
    </w:rPr>
  </w:style>
  <w:style w:type="table" w:styleId="af2">
    <w:name w:val="Table Grid"/>
    <w:basedOn w:val="a1"/>
    <w:uiPriority w:val="39"/>
    <w:rsid w:val="00D1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D13C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OPExcelTableContent-3638">
    <w:name w:val="OP_ExcelTableContent-3638"/>
    <w:basedOn w:val="a1"/>
    <w:rsid w:val="00D13C18"/>
    <w:rPr>
      <w:color w:val="112D4E"/>
    </w:rPr>
    <w:tblPr>
      <w:tblBorders>
        <w:top w:val="dotted" w:sz="12" w:space="0" w:color="112D4E"/>
        <w:left w:val="dotted" w:sz="12" w:space="0" w:color="112D4E"/>
        <w:bottom w:val="dotted" w:sz="12" w:space="0" w:color="112D4E"/>
        <w:right w:val="dotted" w:sz="12" w:space="0" w:color="112D4E"/>
        <w:insideH w:val="dotted" w:sz="12" w:space="0" w:color="112D4E"/>
        <w:insideV w:val="dotted" w:sz="12" w:space="0" w:color="112D4E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dotted" w:sz="12" w:space="0" w:color="112D4E"/>
          <w:left w:val="dotted" w:sz="12" w:space="0" w:color="112D4E"/>
          <w:bottom w:val="dotted" w:sz="12" w:space="0" w:color="112D4E"/>
          <w:right w:val="dotted" w:sz="12" w:space="0" w:color="112D4E"/>
          <w:insideH w:val="dotted" w:sz="12" w:space="0" w:color="112D4E"/>
          <w:insideV w:val="dotted" w:sz="12" w:space="0" w:color="112D4E"/>
        </w:tcBorders>
        <w:shd w:val="clear" w:color="auto" w:fill="C7D7EB"/>
      </w:tcPr>
    </w:tblStylePr>
    <w:tblStylePr w:type="firstCol">
      <w:rPr>
        <w:b/>
      </w:rPr>
      <w:tblPr/>
      <w:tcPr>
        <w:tcBorders>
          <w:top w:val="dotted" w:sz="12" w:space="0" w:color="112D4E"/>
          <w:left w:val="dotted" w:sz="12" w:space="0" w:color="112D4E"/>
          <w:bottom w:val="dotted" w:sz="12" w:space="0" w:color="112D4E"/>
          <w:right w:val="dotted" w:sz="12" w:space="0" w:color="112D4E"/>
          <w:insideH w:val="dotted" w:sz="12" w:space="0" w:color="112D4E"/>
          <w:insideV w:val="dotted" w:sz="12" w:space="0" w:color="112D4E"/>
        </w:tcBorders>
        <w:shd w:val="clear" w:color="auto" w:fill="C7D7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2016178885@qq.com</dc:creator>
  <cp:keywords/>
  <dc:description/>
  <cp:lastModifiedBy>2016178885@qq.com</cp:lastModifiedBy>
  <cp:revision>2</cp:revision>
  <dcterms:created xsi:type="dcterms:W3CDTF">2025-03-14T05:51:00Z</dcterms:created>
  <dcterms:modified xsi:type="dcterms:W3CDTF">2025-03-14T05:57:00Z</dcterms:modified>
</cp:coreProperties>
</file>