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Style w:val="5"/>
          <w:rFonts w:hint="eastAsia" w:ascii="微软雅黑" w:hAnsi="微软雅黑" w:eastAsia="微软雅黑" w:cs="微软雅黑"/>
          <w:b w:val="0"/>
          <w:bCs/>
          <w:i w:val="0"/>
          <w:caps w:val="0"/>
          <w:color w:val="FF0000"/>
          <w:spacing w:val="0"/>
          <w:sz w:val="36"/>
          <w:szCs w:val="36"/>
        </w:rPr>
      </w:pPr>
      <w:r>
        <w:rPr>
          <w:rStyle w:val="5"/>
          <w:rFonts w:hint="eastAsia" w:ascii="微软雅黑" w:hAnsi="微软雅黑" w:eastAsia="微软雅黑" w:cs="微软雅黑"/>
          <w:b w:val="0"/>
          <w:bCs/>
          <w:i w:val="0"/>
          <w:caps w:val="0"/>
          <w:color w:val="FF0000"/>
          <w:spacing w:val="0"/>
          <w:sz w:val="36"/>
          <w:szCs w:val="36"/>
        </w:rPr>
        <w:t>2021年国开电大建筑工程项目招投标与合同管理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Style w:val="5"/>
          <w:rFonts w:hint="eastAsia" w:ascii="微软雅黑" w:hAnsi="微软雅黑" w:eastAsia="微软雅黑" w:cs="微软雅黑"/>
          <w:b w:val="0"/>
          <w:bCs/>
          <w:i w:val="0"/>
          <w:caps w:val="0"/>
          <w:color w:val="FF0000"/>
          <w:spacing w:val="0"/>
          <w:sz w:val="36"/>
          <w:szCs w:val="36"/>
        </w:rPr>
      </w:pPr>
      <w:bookmarkStart w:id="0" w:name="_GoBack"/>
      <w:bookmarkEnd w:id="0"/>
      <w:r>
        <w:rPr>
          <w:rStyle w:val="5"/>
          <w:rFonts w:hint="eastAsia" w:ascii="微软雅黑" w:hAnsi="微软雅黑" w:eastAsia="微软雅黑" w:cs="微软雅黑"/>
          <w:b w:val="0"/>
          <w:bCs/>
          <w:i w:val="0"/>
          <w:caps w:val="0"/>
          <w:color w:val="FF0000"/>
          <w:spacing w:val="0"/>
          <w:sz w:val="36"/>
          <w:szCs w:val="36"/>
        </w:rPr>
        <w:t>形考任务1-4答案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微软雅黑" w:hAnsi="微软雅黑" w:eastAsia="微软雅黑" w:cs="微软雅黑"/>
          <w:i w:val="0"/>
          <w:caps w:val="0"/>
          <w:color w:val="404040"/>
          <w:spacing w:val="0"/>
          <w:sz w:val="21"/>
          <w:szCs w:val="21"/>
        </w:rPr>
      </w:pPr>
      <w:r>
        <w:rPr>
          <w:rStyle w:val="5"/>
          <w:rFonts w:hint="eastAsia" w:ascii="微软雅黑" w:hAnsi="微软雅黑" w:eastAsia="微软雅黑" w:cs="微软雅黑"/>
          <w:b/>
          <w:i w:val="0"/>
          <w:caps w:val="0"/>
          <w:color w:val="404040"/>
          <w:spacing w:val="0"/>
          <w:sz w:val="24"/>
          <w:szCs w:val="24"/>
        </w:rPr>
        <w:t>形考一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一、单项选择题（共 10 道试题，共 50 分。）   1.  下列不属于《工程建设项目招标范围和规模标准规定》的关系社会公共利益、公众安全的公用事业项目的是（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邮政、电信枢纽、通信、信息网络等邮电通讯项目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供水、供电、供气、供热等市政工程项目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C. 商品住宅，包括经济适用住房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D. 科技、教育、文化等项目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2.  招标活动的公开原则首先要求（    ）要公开。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招标活动的信息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评标委员会成员的名单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C. 工程设计文件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D. 评标标准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 3.  公开招标是指招标人以（   ）的方式邀请不特定的法人或者其他组织投标。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投标邀请书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合同谈判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C. 行政命令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D. 招标公告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4.  《工程建设项目招标范围和规模标准规定》中规定施工单项合同估算价在（    ）万元人民币以上的，必须进行招标。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200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C. 150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D. 250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 5.  《招标投标法》规定，依法必须招标的项目自招标文件开始发出之日起至投标人提交投标文件截止之日止，最短不得少于（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20d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30d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C. 10d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D. 15d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6.  应当招标的工程建设项目，根据招标人是否具有（    ），可以将组织招标分为自行招标和委托招标两种情况。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招标资质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招标许可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C. 招标的条件与能力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D. 评标专家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 7.  有关投标主体资格说法正确的是（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招标主体的不具有独立法人资格的附属单位可以参与投标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为招标项目的前期准备提供咨询服务的单位可以参与投标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C. 甲单位与乙单位的单位负责人是同一人，乙单位可以参加甲单位招标项目的投标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D. 招标代理机构不得在所代理的招标项目中投标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 8.  有关建设工程交易中心说法正确的是（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建设工程交易中心具备行政监督管理职能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建设工程交易中心不以盈利为目的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C. 一个地区可以根据建设工程的实际情况，设立两个建设工程交易中心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D. 只有省级城市能够设立建设工程交易中心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9.  建设工程项目总承包招投标是指(     )阶段的招投标。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从项目建议书开始到竣工验收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从可行性研究开始到竣工验收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C. 从项目立项开始到竣工验收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D. 从破土动工开始到竣工验收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 10.  根据《工程建设项目施工招标投标办法》规定，招标人和中标人应当在投标有效期内并在自中标通知书发出之日起（    ）日内，按照招标文件和中标人的投标文件订立书面合同。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30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C. 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D. 15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二、判断题（共 10 道试题，共 50 分。）   1.  投标是指建设单位依法提出招标建设工程项目及其相应要求和条件，通过发布招标公告或投标邀请书，潜在投标人参加投标，从中择优选择承包商的行为。（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 2.  勘察、设计、监理等服务的采购，单项合同估算价在50万元人民币以上的项目必须进行招标。（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3.  重要设备、材料等货物的采购，单项合同估算价在100万元人民币以上的项目必须进行招标。（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4.  建设工程招标代理机构是指依法设立且具备相应资质的，接受招标人委托代为组织招标活动并提供相关服务的中介机构。（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    </w:t>
      </w: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5.  建设工程市场的主体，是指建设工程市场中买卖双方交易的对象，包括建筑产品和与之有关的服务。（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 6.  建设工程市场采取订立书面合同的方式进行风险分配。（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7.  监理单位是建设工程市场服务咨询机构。（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8.  根据承发包的范围，建设工程承发包方式可以划分为建设工程项目总承包、阶段承包和专项承包。（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 9.  建设工程市场采取招标投标的方式进行竞争。（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 10.  投资额度大、工艺或结构复杂的大型建设项目适用采用邀请招标。（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微软雅黑" w:hAnsi="微软雅黑" w:eastAsia="微软雅黑" w:cs="微软雅黑"/>
          <w:i w:val="0"/>
          <w:caps w:val="0"/>
          <w:color w:val="404040"/>
          <w:spacing w:val="0"/>
          <w:sz w:val="21"/>
          <w:szCs w:val="21"/>
        </w:rPr>
      </w:pPr>
      <w:r>
        <w:rPr>
          <w:rStyle w:val="5"/>
          <w:rFonts w:hint="eastAsia" w:ascii="微软雅黑" w:hAnsi="微软雅黑" w:eastAsia="微软雅黑" w:cs="微软雅黑"/>
          <w:b/>
          <w:i w:val="0"/>
          <w:caps w:val="0"/>
          <w:color w:val="404040"/>
          <w:spacing w:val="0"/>
          <w:sz w:val="24"/>
          <w:szCs w:val="24"/>
        </w:rPr>
        <w:t>形考二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一、单项选择题（共 5 道试题，共 25 分。）   1.  下列关于建设工程招投标的说法，正确的是（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在投标有效期内，投标人可以补充、修改或者撤回其投标文件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投标人在招标文件要求提交投标文件的截止时间前，可以补充、修改或者撤回投标文件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C. 投标人可以挂靠或借用其他企业的资质证书参加投标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D. 投标人之间可以先进行内部竞价，内定中标人，然后再参加投标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2.  《招标投标法》规定，依法必须招标的项目自招标文件开始发出之日起至投标人提交投标文件截止之日止，最短不得少于（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20d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30d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C. 10d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D. 15d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3. 某依法必须招标的工程建设项目，评标委员会推荐了三名中标候选人。评标结果公示后，有投标人质疑：排名第一的中标候选人的项目经理(建造师)正在其他在建工程担任项目经理，根本不可能按招标文件要求到位履职。招标人调查后确认属实，在此情况下，招标人可以(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直接确定排名第二的中标候选人为中标人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重新组建评标委员会评标，并报有关监管部门核准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C. 向有关行政监督部门报告，由行政监督部门决定中标人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D. 要求原评标委员会复评标后，确定排名第二的中标候选人为中标人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4.  根据《工程建设项目施工招标投标办法》规定，招标人和中标人应当在投标有效期内，并在自中标通知书发出之日起（   ）日内，按照招标文件和中标人的投标文件订立书面合同。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30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C. 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D. 15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5.  招标文件的发售时间不得少于（        ）日。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C. 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D. 15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二、判断题（共 15 道试题，共 75 分。）   1.  标底是招标工程的预期价格，是招标人对拟建工程的心理价格。（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2.  经评审的最低投标价法一般适用于具有通用技术、性能标准或者招标人对其技术、性能没有特殊要求的招标项目。（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3.  在招标文件规定指定的地点和投标截止时间前，投标人应将投标书连同投标保证金一起送达招标人。（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4.  招标文件出售后，招标人不可以对其中某些条款进行修改，也不可以对疏漏或者不明确之处进行补遗。（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5.  在编制投标报价时，如招标人给出的工程量清单有较大误差时，投标人可以直接改变工程量。（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6.  《招投标法》规定，投标文件应该对招标文件提出的要求和条件做出实质性响应。（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7.  招标人组织现场踏勘后，对投标人在答疑会上提出的问题，招标人应当以书面的形式答复所有投标人。（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8.  联合体是指由两个及以上的法人或者其他组织组成一个联合体，以一个投标人的身份共同投标。（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9.  在投标报价中采用不平衡报价时，对预计今后工程量会增加的项目，单价可适当降低。（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10.   两个以上不同资质等级的单位实行联合承包的，应当按照资质等级较高的单位的业务许可范围承揽工程。（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11.  投标人少于3个的，可以开标。（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12.  评标委员会成员人数为3人以上单数。（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13.  某高速公路项目进行招标，按照招标投标法律法规的规定，开标后允许评标委员会要求投票人澄清问题。（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14.  开标由招标人或其委托的代理机构主持，邀请所有投标人的法人代表或者其委托授权人参加。（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15.  投标截止时间前未完成投标文件传输的，视为投标人撤回投标文件。（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    </w:t>
      </w: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微软雅黑" w:hAnsi="微软雅黑" w:eastAsia="微软雅黑" w:cs="微软雅黑"/>
          <w:i w:val="0"/>
          <w:caps w:val="0"/>
          <w:color w:val="404040"/>
          <w:spacing w:val="0"/>
          <w:sz w:val="21"/>
          <w:szCs w:val="21"/>
        </w:rPr>
      </w:pPr>
      <w:r>
        <w:rPr>
          <w:rStyle w:val="5"/>
          <w:rFonts w:hint="eastAsia" w:ascii="微软雅黑" w:hAnsi="微软雅黑" w:eastAsia="微软雅黑" w:cs="微软雅黑"/>
          <w:b/>
          <w:i w:val="0"/>
          <w:caps w:val="0"/>
          <w:color w:val="404040"/>
          <w:spacing w:val="0"/>
          <w:sz w:val="24"/>
          <w:szCs w:val="24"/>
        </w:rPr>
        <w:t>形考三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一、单项选择题（共 5 道试题，共 25 分。）   1.  某承包人一直拖欠材料商的货款，材料商将债权转让给了该工程的建设单位。工程结算时，建设单位提出要将此债权与需要支付的部分工程款进行抵销，施工单位以自己不知道此事为由不同意。对该案例表述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材料商转让自己的债权无需让承包人知道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材料商转让自己的债权应经承包人同意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C. 若转让时材料商通知了承包人，则建设单位可以主张抵销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D. 即便转让时材料商通知了承包人，建设单位也不可以主张抵销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2.  甲向乙出版社去函，询问乙出版社是否出版了某书籍，乙出版社立即给甲邮寄了该书籍，并向甲索取书籍价格40元，甲认为该书籍不符合其需要，拒绝了乙出版社的要求，因此甲乙双方发生了争议。从该案例来看，甲乙之间（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合同已经成立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合同未成立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C. 已经完成要约和承诺阶段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D. 合同是否成立无法确定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3.  合同中具有相对独立性，其效力不受合同无效、变更或者终止影响的条款是（      ）条款。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解决争议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C. 价款或酬金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D. 数量和质量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4.  甲与乙签订了一份房屋买卖合同，为了逃避税收，又签订了一份赠与合同。甲与乙签订的赠与合同属于（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有效合同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无效合同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C. 可撤销合同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D. 效力待定合同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5.  继续履行是一种违约后的补救方式，但它不能与下列方式中的（        ）并用。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违约金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采取补救措施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C. 定金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D. 解除合同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二、判断题（共 15 道试题，共 75 分。）   1.  在建设工程中，招标代理行为是委托代理。（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2.  根据《招标投标法》，投标人在投标有效期内撤回其投标文件的情形下，招标人有权没收投标人的投标保证金。（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3.  招标人要求投标人提交投标担保的，投标担保金额一般不超过招标项目估算价的5%。（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4.  依据施工合同示范文本规定，投料试车工作应在工程竣工验收后由发包人负责。（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5.  在施工合同中，因监理人指示延误或发出错误指示而导致承包人费用增加和（或）工期延误，由发包人承担相应责任。（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6.  《合同法》所称的不可抗力是指不能预见但能够避免的客观情况。（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7.  建设工程施工合同的解释顺序为：合同协议→中标通知书→合同专用条款→合同通用条款。（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8.  投标须知属于投标文件的内容。（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9.  确定水准点与坐标控制点的位置，以书面形式进行现场交验，是监理人的义务。（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10.  10周岁的少年将自家的电脑卖给40岁的少年的合同属于效力待定合同。（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11.  风险管理的程序一般包括风险识别、风险分析与评估、风险对策。（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12.  在工程变更的各种类别中，施工条件变更通常由业主或不可抗力引起的。（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13.  定金合同属于单务合同。（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14.  合同签订时，施工企业对建设单位要求的业绩证明造假，属于违背诚实信用原则。（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15.   履约保证金不得超过中标合同金额的10%。（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微软雅黑" w:hAnsi="微软雅黑" w:eastAsia="微软雅黑" w:cs="微软雅黑"/>
          <w:i w:val="0"/>
          <w:caps w:val="0"/>
          <w:color w:val="404040"/>
          <w:spacing w:val="0"/>
          <w:sz w:val="21"/>
          <w:szCs w:val="21"/>
        </w:rPr>
      </w:pPr>
      <w:r>
        <w:rPr>
          <w:rStyle w:val="5"/>
          <w:rFonts w:hint="eastAsia" w:ascii="微软雅黑" w:hAnsi="微软雅黑" w:eastAsia="微软雅黑" w:cs="微软雅黑"/>
          <w:b/>
          <w:i w:val="0"/>
          <w:caps w:val="0"/>
          <w:color w:val="404040"/>
          <w:spacing w:val="0"/>
          <w:sz w:val="24"/>
          <w:szCs w:val="24"/>
        </w:rPr>
        <w:t>形考四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一、单项选择题（共 5 道试题，共 25 分。）   1.  根据FIDIC合同条件规定，下列有关工程师权利的说法正确的是（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工程师只能定期向承包商发出指令或变更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雇主和承包商达不成一致意见时，工程师应当将双方意见详实记录后，提交争端裁决委员会决定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 xml:space="preserve">C. 承包商应当无条件接受工程师做出的与合同有关的指令 </w:t>
      </w:r>
      <w:r>
        <w:rPr>
          <w:rFonts w:hint="eastAsia" w:ascii="微软雅黑" w:hAnsi="微软雅黑" w:eastAsia="微软雅黑" w:cs="微软雅黑"/>
          <w:i w:val="0"/>
          <w:caps w:val="0"/>
          <w:color w:val="404040"/>
          <w:spacing w:val="0"/>
          <w:sz w:val="24"/>
          <w:szCs w:val="24"/>
        </w:rPr>
        <w:t>D. 承包商实施与建筑工程有关的某项操作时，只要是在确保建筑工程质量的前提下，就可实施，无需得到工程师的批准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2.  FIDIC合同条件规定，保留金全部退还给承包商是在（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施工完毕之后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工程移交之后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C. 保修期满之后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D. 竣工验收报告批准之后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3.  FIDIC合同的各个文件之间相互解释和相互补充，如果各个文件规定出现矛盾时，具有第一优先解释顺序的文件是（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投标书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技术规范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C. 合同专用条款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D. 合同协议书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4.  FIDIC合同条件规定，解决合同争议的方法不包括(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提交争端裁决委员会决定      B. 协商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C. 仲裁                        </w:t>
      </w:r>
      <w:r>
        <w:rPr>
          <w:rFonts w:hint="eastAsia" w:ascii="微软雅黑" w:hAnsi="微软雅黑" w:eastAsia="微软雅黑" w:cs="微软雅黑"/>
          <w:i w:val="0"/>
          <w:caps w:val="0"/>
          <w:color w:val="404040"/>
          <w:spacing w:val="0"/>
          <w:sz w:val="24"/>
          <w:szCs w:val="24"/>
          <w:shd w:val="clear" w:fill="FFFF00"/>
        </w:rPr>
        <w:t>D. 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5.  FIDIC合同条件规定，在收到工程接收证书后的84天内，承包商应向工程师报送(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最终报表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竣工报表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C. 结清证明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D. 临时支付报表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二、判断题（共 15 道试题，共 75 分。）   1.  施工机具使用费的索赔包括由于业主或者监理工程师原因导致机械停工的窝工费。（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2.  总费用法又称实际费用法，是计算索赔费用的最科学、最容易被接受的方法，其宗旨是将索赔事件引起的损失按可以索赔的费用项目分别进行计算，然后汇总得到总索赔额。（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3.  索赔依据，也叫索赔的理由，是承包商提出索赔的前提条件，其作用是论证承包商的索赔权，即对某一索赔事件承包商是否有权利提出索赔。（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4.  费用索赔常用的计算方法有分项法、总费用法和修正费用法。（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5.  位于关键线路上的工作如果被拖延，则总工期不一定会被延误。（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6.  总包商和分包商之间不能进行索赔。（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7.  一个索赔成功率高的公司往往是一个管理水平高的公司。（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8.  按索赔的处理方式分类，索赔可分为单项索赔和总索赔。（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9.  索赔证据，是为了证明索赔事件的真实性，以及承包商的索赔要求的合理性等的材料。（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10.  在索赔解决过程中承包商应该将自己对索赔的期望明确告知业主。（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11.  为了避免被对方提出反索赔，当可能的反索赔值大于索赔值时，承包商就不应该提出索赔。（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12.  进行反索赔的一方只需要反驳对方的证据，而他本身不需要再收集证据。（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13.  承包人应在发出索赔意向通知书后20天内，向监理人正式递交索赔报告。（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14.  在索赔中，承包商既要防止只讲关系义气，忽视索赔，又要防止好大喜功，只注重索赔的做法。（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15.  网络图分析方法是进行工期索赔的首选分析方法，适用于各种索赔事件的工期索赔。（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rPr>
        <w:t>A.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sz w:val="24"/>
          <w:szCs w:val="24"/>
          <w:shd w:val="clear" w:fill="FFFF00"/>
        </w:rPr>
        <w:t>B. 正确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16879"/>
    <w:rsid w:val="050735B5"/>
    <w:rsid w:val="62CD4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王</dc:creator>
  <cp:lastModifiedBy>两小胡猜</cp:lastModifiedBy>
  <dcterms:modified xsi:type="dcterms:W3CDTF">2021-05-12T02:53:52Z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2052-11.1.0.10168</vt:lpwstr>
  </property>
</Properties>
</file>