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2839" w:val="left" w:leader="none"/>
        </w:tabs>
        <w:spacing w:before="65"/>
        <w:ind w:left="8840"/>
      </w:pPr>
      <w:r>
        <w:rPr/>
        <w:t>分析层是数据处理的最高阶段，</w:t>
        <w:tab/>
        <w:t>它要根据风险管理的不同需要从</w:t>
      </w:r>
    </w:p>
    <w:p>
      <w:pPr>
        <w:pStyle w:val="BodyText"/>
        <w:rPr>
          <w:sz w:val="20"/>
        </w:rPr>
      </w:pPr>
    </w:p>
    <w:p>
      <w:pPr>
        <w:pStyle w:val="BodyText"/>
        <w:spacing w:before="1"/>
        <w:rPr>
          <w:sz w:val="25"/>
        </w:rPr>
      </w:pPr>
    </w:p>
    <w:p>
      <w:pPr>
        <w:spacing w:after="0"/>
        <w:rPr>
          <w:sz w:val="25"/>
        </w:rPr>
        <w:sectPr>
          <w:headerReference w:type="default" r:id="rId5"/>
          <w:footerReference w:type="default" r:id="rId6"/>
          <w:type w:val="continuous"/>
          <w:pgSz w:w="19120" w:h="27060"/>
          <w:pgMar w:header="1396" w:footer="1580" w:top="1920" w:bottom="1780" w:left="1040" w:right="1060"/>
        </w:sectPr>
      </w:pPr>
    </w:p>
    <w:p>
      <w:pPr>
        <w:spacing w:before="49"/>
        <w:ind w:left="100" w:right="0" w:firstLine="0"/>
        <w:jc w:val="left"/>
        <w:rPr>
          <w:sz w:val="36"/>
        </w:rPr>
      </w:pPr>
      <w:r>
        <w:rPr>
          <w:sz w:val="36"/>
        </w:rPr>
        <w:t>五、简答题</w:t>
      </w:r>
    </w:p>
    <w:p>
      <w:pPr>
        <w:pStyle w:val="BodyText"/>
        <w:spacing w:before="2"/>
        <w:rPr>
          <w:sz w:val="45"/>
        </w:rPr>
      </w:pPr>
    </w:p>
    <w:p>
      <w:pPr>
        <w:pStyle w:val="ListParagraph"/>
        <w:numPr>
          <w:ilvl w:val="0"/>
          <w:numId w:val="1"/>
        </w:numPr>
        <w:tabs>
          <w:tab w:pos="679" w:val="left" w:leader="none"/>
          <w:tab w:pos="680" w:val="left" w:leader="none"/>
        </w:tabs>
        <w:spacing w:line="240" w:lineRule="auto" w:before="1" w:after="0"/>
        <w:ind w:left="680" w:right="0" w:hanging="580"/>
        <w:jc w:val="left"/>
        <w:rPr>
          <w:sz w:val="26"/>
        </w:rPr>
      </w:pPr>
      <w:r>
        <w:rPr>
          <w:sz w:val="26"/>
        </w:rPr>
        <w:t>简述金融风险与一般风险的比较。</w:t>
      </w:r>
    </w:p>
    <w:p>
      <w:pPr>
        <w:pStyle w:val="BodyText"/>
        <w:rPr>
          <w:sz w:val="30"/>
        </w:rPr>
      </w:pPr>
    </w:p>
    <w:p>
      <w:pPr>
        <w:pStyle w:val="BodyText"/>
        <w:rPr>
          <w:sz w:val="22"/>
        </w:rPr>
      </w:pPr>
    </w:p>
    <w:p>
      <w:pPr>
        <w:pStyle w:val="BodyText"/>
        <w:ind w:left="240"/>
      </w:pPr>
      <w:r>
        <w:rPr/>
        <w:t>答：从金融风险的内涵看，内容要比一般的风险内容丰富得多。</w:t>
      </w:r>
    </w:p>
    <w:p>
      <w:pPr>
        <w:pStyle w:val="BodyText"/>
        <w:rPr>
          <w:sz w:val="30"/>
        </w:rPr>
      </w:pPr>
    </w:p>
    <w:p>
      <w:pPr>
        <w:pStyle w:val="BodyText"/>
        <w:spacing w:before="8"/>
        <w:rPr>
          <w:sz w:val="23"/>
        </w:rPr>
      </w:pPr>
    </w:p>
    <w:p>
      <w:pPr>
        <w:pStyle w:val="BodyText"/>
        <w:ind w:left="100"/>
      </w:pPr>
      <w:r>
        <w:rPr/>
        <w:t>从金融风险的外延看，其范围要比一般风险的范围小得多。相对</w:t>
      </w:r>
    </w:p>
    <w:p>
      <w:pPr>
        <w:pStyle w:val="BodyText"/>
        <w:rPr>
          <w:sz w:val="30"/>
        </w:rPr>
      </w:pPr>
    </w:p>
    <w:p>
      <w:pPr>
        <w:pStyle w:val="BodyText"/>
        <w:rPr>
          <w:sz w:val="22"/>
        </w:rPr>
      </w:pPr>
    </w:p>
    <w:p>
      <w:pPr>
        <w:pStyle w:val="BodyText"/>
        <w:tabs>
          <w:tab w:pos="7339" w:val="left" w:leader="none"/>
        </w:tabs>
        <w:spacing w:before="1"/>
        <w:ind w:left="100"/>
      </w:pPr>
      <w:r>
        <w:rPr/>
        <w:t>于一般风险：</w:t>
      </w:r>
      <w:r>
        <w:rPr>
          <w:spacing w:val="49"/>
        </w:rPr>
        <w:t> </w:t>
      </w:r>
      <w:r>
        <w:rPr>
          <w:rFonts w:ascii="Arial" w:eastAsia="Arial"/>
        </w:rPr>
        <w:t>1.</w:t>
      </w:r>
      <w:r>
        <w:rPr>
          <w:rFonts w:ascii="Arial" w:eastAsia="Arial"/>
          <w:spacing w:val="-50"/>
        </w:rPr>
        <w:t> </w:t>
      </w:r>
      <w:r>
        <w:rPr/>
        <w:t>金融风险是资金借贷和资金经营的风险。</w:t>
        <w:tab/>
      </w:r>
      <w:r>
        <w:rPr>
          <w:rFonts w:ascii="Arial" w:eastAsia="Arial"/>
        </w:rPr>
        <w:t>2.</w:t>
      </w:r>
      <w:r>
        <w:rPr>
          <w:rFonts w:ascii="Arial" w:eastAsia="Arial"/>
          <w:spacing w:val="-50"/>
        </w:rPr>
        <w:t> </w:t>
      </w:r>
      <w:r>
        <w:rPr/>
        <w:t>金融</w:t>
      </w:r>
    </w:p>
    <w:p>
      <w:pPr>
        <w:pStyle w:val="BodyText"/>
        <w:rPr>
          <w:sz w:val="30"/>
        </w:rPr>
      </w:pPr>
    </w:p>
    <w:p>
      <w:pPr>
        <w:pStyle w:val="BodyText"/>
        <w:spacing w:before="7"/>
        <w:rPr>
          <w:sz w:val="23"/>
        </w:rPr>
      </w:pPr>
    </w:p>
    <w:p>
      <w:pPr>
        <w:pStyle w:val="BodyText"/>
        <w:tabs>
          <w:tab w:pos="4139" w:val="left" w:leader="none"/>
        </w:tabs>
        <w:spacing w:line="705" w:lineRule="auto"/>
        <w:ind w:left="100" w:right="359"/>
      </w:pPr>
      <w:r>
        <w:rPr/>
        <w:t>风险具有收益与损失的双重性。</w:t>
        <w:tab/>
      </w:r>
      <w:r>
        <w:rPr>
          <w:rFonts w:ascii="Arial" w:eastAsia="Arial"/>
        </w:rPr>
        <w:t>3.</w:t>
      </w:r>
      <w:r>
        <w:rPr>
          <w:rFonts w:ascii="Arial" w:eastAsia="Arial"/>
          <w:spacing w:val="-31"/>
        </w:rPr>
        <w:t> </w:t>
      </w:r>
      <w:r>
        <w:rPr/>
        <w:t>金融风险有可计量和不可计</w:t>
      </w:r>
      <w:r>
        <w:rPr>
          <w:spacing w:val="-17"/>
        </w:rPr>
        <w:t>量</w:t>
      </w:r>
      <w:r>
        <w:rPr/>
        <w:t>之分。</w:t>
      </w:r>
      <w:r>
        <w:rPr>
          <w:spacing w:val="-51"/>
        </w:rPr>
        <w:t> </w:t>
      </w:r>
      <w:r>
        <w:rPr>
          <w:rFonts w:ascii="Arial" w:eastAsia="Arial"/>
        </w:rPr>
        <w:t>4.</w:t>
      </w:r>
      <w:r>
        <w:rPr>
          <w:rFonts w:ascii="Arial" w:eastAsia="Arial"/>
          <w:spacing w:val="-50"/>
        </w:rPr>
        <w:t> </w:t>
      </w:r>
      <w:r>
        <w:rPr/>
        <w:t>金融风险是调节宏观经济的机制。</w:t>
      </w:r>
    </w:p>
    <w:p>
      <w:pPr>
        <w:pStyle w:val="ListParagraph"/>
        <w:numPr>
          <w:ilvl w:val="0"/>
          <w:numId w:val="1"/>
        </w:numPr>
        <w:tabs>
          <w:tab w:pos="679" w:val="left" w:leader="none"/>
          <w:tab w:pos="680" w:val="left" w:leader="none"/>
        </w:tabs>
        <w:spacing w:line="240" w:lineRule="auto" w:before="22" w:after="0"/>
        <w:ind w:left="680" w:right="0" w:hanging="580"/>
        <w:jc w:val="left"/>
        <w:rPr>
          <w:sz w:val="26"/>
        </w:rPr>
      </w:pPr>
      <w:r>
        <w:rPr>
          <w:sz w:val="26"/>
        </w:rPr>
        <w:t>简述金融风险的特征。</w:t>
      </w:r>
    </w:p>
    <w:p>
      <w:pPr>
        <w:pStyle w:val="BodyText"/>
        <w:rPr>
          <w:sz w:val="30"/>
        </w:rPr>
      </w:pPr>
    </w:p>
    <w:p>
      <w:pPr>
        <w:pStyle w:val="BodyText"/>
        <w:spacing w:before="7"/>
        <w:rPr>
          <w:sz w:val="23"/>
        </w:rPr>
      </w:pPr>
    </w:p>
    <w:p>
      <w:pPr>
        <w:pStyle w:val="BodyText"/>
        <w:ind w:left="240"/>
      </w:pPr>
      <w:r>
        <w:rPr/>
        <w:t>答：金融风险除了具有一般风险的基本特征外，还有以下特征：</w:t>
      </w:r>
    </w:p>
    <w:p>
      <w:pPr>
        <w:pStyle w:val="BodyText"/>
        <w:rPr>
          <w:sz w:val="30"/>
        </w:rPr>
      </w:pPr>
    </w:p>
    <w:p>
      <w:pPr>
        <w:pStyle w:val="BodyText"/>
        <w:spacing w:before="1"/>
        <w:rPr>
          <w:sz w:val="22"/>
        </w:rPr>
      </w:pPr>
    </w:p>
    <w:p>
      <w:pPr>
        <w:pStyle w:val="BodyText"/>
        <w:ind w:left="100"/>
      </w:pPr>
      <w:r>
        <w:rPr>
          <w:rFonts w:ascii="Arial" w:eastAsia="Arial"/>
        </w:rPr>
        <w:t>1. </w:t>
      </w:r>
      <w:r>
        <w:rPr/>
        <w:t>隐蔽性 </w:t>
      </w:r>
      <w:r>
        <w:rPr>
          <w:rFonts w:ascii="Arial" w:eastAsia="Arial"/>
        </w:rPr>
        <w:t>2. </w:t>
      </w:r>
      <w:r>
        <w:rPr/>
        <w:t>扩展性 </w:t>
      </w:r>
      <w:r>
        <w:rPr>
          <w:rFonts w:ascii="Arial" w:eastAsia="Arial"/>
        </w:rPr>
        <w:t>3. </w:t>
      </w:r>
      <w:r>
        <w:rPr/>
        <w:t>加速性。 </w:t>
      </w:r>
      <w:r>
        <w:rPr>
          <w:rFonts w:ascii="Arial" w:eastAsia="Arial"/>
        </w:rPr>
        <w:t>4 </w:t>
      </w:r>
      <w:r>
        <w:rPr/>
        <w:t>可控性。</w:t>
      </w:r>
    </w:p>
    <w:p>
      <w:pPr>
        <w:pStyle w:val="BodyText"/>
        <w:rPr>
          <w:sz w:val="30"/>
        </w:rPr>
      </w:pPr>
    </w:p>
    <w:p>
      <w:pPr>
        <w:pStyle w:val="BodyText"/>
        <w:spacing w:before="8"/>
        <w:rPr>
          <w:sz w:val="23"/>
        </w:rPr>
      </w:pPr>
    </w:p>
    <w:p>
      <w:pPr>
        <w:pStyle w:val="ListParagraph"/>
        <w:numPr>
          <w:ilvl w:val="0"/>
          <w:numId w:val="2"/>
        </w:numPr>
        <w:tabs>
          <w:tab w:pos="679" w:val="left" w:leader="none"/>
          <w:tab w:pos="680" w:val="left" w:leader="none"/>
        </w:tabs>
        <w:spacing w:line="240" w:lineRule="auto" w:before="0" w:after="0"/>
        <w:ind w:left="680" w:right="0" w:hanging="580"/>
        <w:jc w:val="left"/>
        <w:rPr>
          <w:sz w:val="26"/>
        </w:rPr>
      </w:pPr>
      <w:r>
        <w:rPr>
          <w:sz w:val="26"/>
        </w:rPr>
        <w:t>简述金融风险管理的目的</w:t>
      </w:r>
    </w:p>
    <w:p>
      <w:pPr>
        <w:pStyle w:val="BodyText"/>
        <w:rPr>
          <w:sz w:val="30"/>
        </w:rPr>
      </w:pPr>
    </w:p>
    <w:p>
      <w:pPr>
        <w:pStyle w:val="BodyText"/>
        <w:tabs>
          <w:tab w:pos="3919" w:val="left" w:leader="none"/>
          <w:tab w:pos="5659" w:val="left" w:leader="none"/>
          <w:tab w:pos="7319" w:val="left" w:leader="none"/>
        </w:tabs>
        <w:spacing w:line="720" w:lineRule="auto" w:before="262"/>
        <w:ind w:left="100" w:right="38"/>
      </w:pPr>
      <w:r>
        <w:rPr/>
        <w:t>答：金融风险管理的目的，概括来讲包括：</w:t>
        <w:tab/>
      </w:r>
      <w:r>
        <w:rPr>
          <w:rFonts w:ascii="Arial" w:eastAsia="Arial"/>
          <w:spacing w:val="15"/>
        </w:rPr>
        <w:t>1</w:t>
      </w:r>
      <w:r>
        <w:rPr/>
        <w:t>、保证各金融机构和整个金融体系的稳健安全；</w:t>
        <w:tab/>
      </w:r>
      <w:r>
        <w:rPr>
          <w:rFonts w:ascii="Arial" w:eastAsia="Arial"/>
          <w:spacing w:val="15"/>
        </w:rPr>
        <w:t>2</w:t>
      </w:r>
      <w:r>
        <w:rPr/>
        <w:t>、维护社会公众的利益；</w:t>
        <w:tab/>
      </w:r>
      <w:r>
        <w:rPr>
          <w:rFonts w:ascii="Arial" w:eastAsia="Arial"/>
        </w:rPr>
        <w:t>3.</w:t>
      </w:r>
      <w:r>
        <w:rPr>
          <w:rFonts w:ascii="Arial" w:eastAsia="Arial"/>
          <w:spacing w:val="-31"/>
        </w:rPr>
        <w:t> </w:t>
      </w:r>
      <w:r>
        <w:rPr/>
        <w:t>保</w:t>
      </w:r>
      <w:r>
        <w:rPr>
          <w:spacing w:val="-16"/>
        </w:rPr>
        <w:t>证</w:t>
      </w:r>
    </w:p>
    <w:p>
      <w:pPr>
        <w:pStyle w:val="BodyText"/>
        <w:tabs>
          <w:tab w:pos="4439" w:val="left" w:leader="none"/>
        </w:tabs>
        <w:spacing w:line="720" w:lineRule="auto" w:before="22"/>
        <w:ind w:left="100" w:right="339"/>
      </w:pPr>
      <w:r>
        <w:rPr/>
        <w:t>金融机构的公平竞争和较高效率；</w:t>
        <w:tab/>
      </w:r>
      <w:r>
        <w:rPr>
          <w:rFonts w:ascii="Arial" w:eastAsia="Arial"/>
        </w:rPr>
        <w:t>4.</w:t>
      </w:r>
      <w:r>
        <w:rPr>
          <w:rFonts w:ascii="Arial" w:eastAsia="Arial"/>
          <w:spacing w:val="-51"/>
        </w:rPr>
        <w:t> </w:t>
      </w:r>
      <w:r>
        <w:rPr/>
        <w:t>保证国家宏观货币政策制</w:t>
      </w:r>
      <w:r>
        <w:rPr>
          <w:spacing w:val="-17"/>
        </w:rPr>
        <w:t>定</w:t>
      </w:r>
      <w:r>
        <w:rPr/>
        <w:t>和贯彻执行。</w:t>
      </w:r>
    </w:p>
    <w:p>
      <w:pPr>
        <w:pStyle w:val="ListParagraph"/>
        <w:numPr>
          <w:ilvl w:val="0"/>
          <w:numId w:val="2"/>
        </w:numPr>
        <w:tabs>
          <w:tab w:pos="679" w:val="left" w:leader="none"/>
          <w:tab w:pos="680" w:val="left" w:leader="none"/>
        </w:tabs>
        <w:spacing w:line="240" w:lineRule="auto" w:before="21" w:after="0"/>
        <w:ind w:left="680" w:right="0" w:hanging="580"/>
        <w:jc w:val="left"/>
        <w:rPr>
          <w:sz w:val="26"/>
        </w:rPr>
      </w:pPr>
      <w:r>
        <w:rPr>
          <w:sz w:val="26"/>
        </w:rPr>
        <w:t>简述金融风险管理信息系统的构成。</w:t>
      </w:r>
    </w:p>
    <w:p>
      <w:pPr>
        <w:pStyle w:val="BodyText"/>
        <w:rPr>
          <w:sz w:val="30"/>
        </w:rPr>
      </w:pPr>
    </w:p>
    <w:p>
      <w:pPr>
        <w:pStyle w:val="BodyText"/>
        <w:spacing w:line="720" w:lineRule="auto" w:before="262"/>
        <w:ind w:left="100" w:right="587"/>
      </w:pPr>
      <w:r>
        <w:rPr/>
        <w:t>答</w:t>
      </w:r>
      <w:r>
        <w:rPr>
          <w:rFonts w:ascii="Arial" w:eastAsia="Arial"/>
        </w:rPr>
        <w:t>: </w:t>
      </w:r>
      <w:r>
        <w:rPr/>
        <w:t>金融风险管理信息系统的结构基本由三部分组成：数据仓库， 中间数据处理器和数据分析层。</w:t>
      </w:r>
    </w:p>
    <w:p>
      <w:pPr>
        <w:pStyle w:val="BodyText"/>
        <w:tabs>
          <w:tab w:pos="3219" w:val="left" w:leader="none"/>
        </w:tabs>
        <w:spacing w:line="720" w:lineRule="auto" w:before="22"/>
        <w:ind w:left="100" w:right="499" w:firstLine="440"/>
      </w:pPr>
      <w:r>
        <w:rPr/>
        <w:t>数据仓库仓储前台交易记录信息，各种风险头寸和金融工具 信息及交易对手信息等。</w:t>
        <w:tab/>
        <w:t>中间数据处理器主要是将前台收集到</w:t>
      </w:r>
      <w:r>
        <w:rPr>
          <w:spacing w:val="-18"/>
        </w:rPr>
        <w:t>的</w:t>
      </w:r>
    </w:p>
    <w:p>
      <w:pPr>
        <w:pStyle w:val="BodyText"/>
        <w:spacing w:before="21"/>
        <w:ind w:left="100"/>
      </w:pPr>
      <w:r>
        <w:rPr/>
        <w:t>原始数据信息进行分类识别和处理，并抽取其内在特制，按照不</w:t>
      </w:r>
    </w:p>
    <w:p>
      <w:pPr>
        <w:pStyle w:val="BodyText"/>
        <w:rPr>
          <w:sz w:val="30"/>
        </w:rPr>
      </w:pPr>
    </w:p>
    <w:p>
      <w:pPr>
        <w:pStyle w:val="BodyText"/>
        <w:rPr>
          <w:sz w:val="22"/>
        </w:rPr>
      </w:pPr>
    </w:p>
    <w:p>
      <w:pPr>
        <w:pStyle w:val="BodyText"/>
        <w:tabs>
          <w:tab w:pos="7579" w:val="left" w:leader="none"/>
        </w:tabs>
        <w:spacing w:before="1"/>
        <w:ind w:left="100"/>
      </w:pPr>
      <w:r>
        <w:rPr/>
        <w:t>同数据结构和类型将其分别存储到数据仓库的相应的位置，</w:t>
        <w:tab/>
        <w:t>数据</w:t>
      </w:r>
    </w:p>
    <w:p>
      <w:pPr>
        <w:pStyle w:val="BodyText"/>
        <w:spacing w:before="109"/>
        <w:ind w:left="100"/>
      </w:pPr>
      <w:r>
        <w:rPr/>
        <w:br w:type="column"/>
      </w:r>
      <w:r>
        <w:rPr/>
        <w:t>数据仓库中抽取信息进行分析。</w:t>
      </w:r>
    </w:p>
    <w:p>
      <w:pPr>
        <w:pStyle w:val="BodyText"/>
        <w:rPr>
          <w:sz w:val="30"/>
        </w:rPr>
      </w:pPr>
    </w:p>
    <w:p>
      <w:pPr>
        <w:pStyle w:val="ListParagraph"/>
        <w:numPr>
          <w:ilvl w:val="0"/>
          <w:numId w:val="2"/>
        </w:numPr>
        <w:tabs>
          <w:tab w:pos="679" w:val="left" w:leader="none"/>
          <w:tab w:pos="680" w:val="left" w:leader="none"/>
        </w:tabs>
        <w:spacing w:line="240" w:lineRule="auto" w:before="263" w:after="0"/>
        <w:ind w:left="680" w:right="0" w:hanging="580"/>
        <w:jc w:val="left"/>
        <w:rPr>
          <w:sz w:val="26"/>
        </w:rPr>
      </w:pPr>
      <w:r>
        <w:rPr>
          <w:spacing w:val="-10"/>
          <w:sz w:val="26"/>
        </w:rPr>
        <w:t>简述依照“贷款风险五级分类法”， 贷款风险的分类。</w:t>
      </w:r>
    </w:p>
    <w:p>
      <w:pPr>
        <w:pStyle w:val="BodyText"/>
        <w:rPr>
          <w:sz w:val="30"/>
        </w:rPr>
      </w:pPr>
    </w:p>
    <w:p>
      <w:pPr>
        <w:pStyle w:val="BodyText"/>
        <w:rPr>
          <w:sz w:val="22"/>
        </w:rPr>
      </w:pPr>
    </w:p>
    <w:p>
      <w:pPr>
        <w:pStyle w:val="BodyText"/>
        <w:spacing w:before="1"/>
        <w:ind w:left="100"/>
      </w:pPr>
      <w:r>
        <w:rPr>
          <w:spacing w:val="40"/>
        </w:rPr>
        <w:t>答</w:t>
      </w:r>
      <w:r>
        <w:rPr>
          <w:rFonts w:ascii="Arial" w:hAnsi="Arial" w:eastAsia="Arial"/>
        </w:rPr>
        <w:t>:  </w:t>
      </w:r>
      <w:r>
        <w:rPr/>
        <w:t>“贷款风险五级分类法”即按贷款风险从小到大的顺序，将贷</w:t>
      </w:r>
    </w:p>
    <w:p>
      <w:pPr>
        <w:pStyle w:val="BodyText"/>
        <w:rPr>
          <w:sz w:val="30"/>
        </w:rPr>
      </w:pPr>
    </w:p>
    <w:p>
      <w:pPr>
        <w:pStyle w:val="BodyText"/>
        <w:spacing w:before="7"/>
        <w:rPr>
          <w:sz w:val="23"/>
        </w:rPr>
      </w:pPr>
    </w:p>
    <w:p>
      <w:pPr>
        <w:pStyle w:val="BodyText"/>
        <w:spacing w:line="720" w:lineRule="auto"/>
        <w:ind w:left="100" w:right="639"/>
      </w:pPr>
      <w:r>
        <w:rPr/>
        <w:t>款依次分为“正常，关注，次级，可疑，损失”五个级别，其后三个级别为不良贷款。</w:t>
      </w:r>
    </w:p>
    <w:p>
      <w:pPr>
        <w:pStyle w:val="ListParagraph"/>
        <w:numPr>
          <w:ilvl w:val="0"/>
          <w:numId w:val="2"/>
        </w:numPr>
        <w:tabs>
          <w:tab w:pos="679" w:val="left" w:leader="none"/>
          <w:tab w:pos="680" w:val="left" w:leader="none"/>
        </w:tabs>
        <w:spacing w:line="240" w:lineRule="auto" w:before="22" w:after="0"/>
        <w:ind w:left="680" w:right="0" w:hanging="580"/>
        <w:jc w:val="left"/>
        <w:rPr>
          <w:sz w:val="26"/>
        </w:rPr>
      </w:pPr>
      <w:r>
        <w:rPr>
          <w:sz w:val="26"/>
        </w:rPr>
        <w:t>简述控制信贷风险的几种措施。</w:t>
      </w:r>
    </w:p>
    <w:p>
      <w:pPr>
        <w:pStyle w:val="BodyText"/>
        <w:rPr>
          <w:sz w:val="30"/>
        </w:rPr>
      </w:pPr>
    </w:p>
    <w:p>
      <w:pPr>
        <w:pStyle w:val="BodyText"/>
        <w:spacing w:line="720" w:lineRule="auto" w:before="262"/>
        <w:ind w:left="100" w:right="899"/>
      </w:pPr>
      <w:r>
        <w:rPr/>
        <w:t>答</w:t>
      </w:r>
      <w:r>
        <w:rPr>
          <w:rFonts w:ascii="Arial" w:eastAsia="Arial"/>
        </w:rPr>
        <w:t>: </w:t>
      </w:r>
      <w:r>
        <w:rPr/>
        <w:t>控制信贷风险通常采取避开风险，减少风险，转移风险和分散风险四种措施。</w:t>
      </w:r>
    </w:p>
    <w:p>
      <w:pPr>
        <w:pStyle w:val="ListParagraph"/>
        <w:numPr>
          <w:ilvl w:val="0"/>
          <w:numId w:val="2"/>
        </w:numPr>
        <w:tabs>
          <w:tab w:pos="679" w:val="left" w:leader="none"/>
          <w:tab w:pos="680" w:val="left" w:leader="none"/>
        </w:tabs>
        <w:spacing w:line="240" w:lineRule="auto" w:before="21" w:after="0"/>
        <w:ind w:left="680" w:right="0" w:hanging="580"/>
        <w:jc w:val="left"/>
        <w:rPr>
          <w:sz w:val="26"/>
        </w:rPr>
      </w:pPr>
      <w:r>
        <w:rPr>
          <w:sz w:val="26"/>
        </w:rPr>
        <w:t>简述导致信贷风险的风险因素。</w:t>
      </w:r>
    </w:p>
    <w:p>
      <w:pPr>
        <w:pStyle w:val="BodyText"/>
        <w:rPr>
          <w:sz w:val="30"/>
        </w:rPr>
      </w:pPr>
    </w:p>
    <w:p>
      <w:pPr>
        <w:pStyle w:val="BodyText"/>
        <w:spacing w:before="1"/>
        <w:rPr>
          <w:sz w:val="22"/>
        </w:rPr>
      </w:pPr>
    </w:p>
    <w:p>
      <w:pPr>
        <w:pStyle w:val="BodyText"/>
        <w:ind w:left="100"/>
      </w:pPr>
      <w:r>
        <w:rPr/>
        <w:t>答： </w:t>
      </w:r>
      <w:r>
        <w:rPr>
          <w:rFonts w:ascii="Arial" w:eastAsia="Arial"/>
        </w:rPr>
        <w:t>1. </w:t>
      </w:r>
      <w:r>
        <w:rPr/>
        <w:t>借款人经营状况，财务状况，利润水平的不确定性以及信</w:t>
      </w:r>
    </w:p>
    <w:p>
      <w:pPr>
        <w:pStyle w:val="BodyText"/>
        <w:rPr>
          <w:sz w:val="30"/>
        </w:rPr>
      </w:pPr>
    </w:p>
    <w:p>
      <w:pPr>
        <w:pStyle w:val="BodyText"/>
        <w:spacing w:before="8"/>
        <w:rPr>
          <w:sz w:val="23"/>
        </w:rPr>
      </w:pPr>
    </w:p>
    <w:p>
      <w:pPr>
        <w:pStyle w:val="BodyText"/>
        <w:tabs>
          <w:tab w:pos="2999" w:val="left" w:leader="none"/>
        </w:tabs>
        <w:ind w:left="100"/>
        <w:rPr>
          <w:rFonts w:ascii="Arial" w:eastAsia="Arial"/>
        </w:rPr>
      </w:pPr>
      <w:r>
        <w:rPr/>
        <w:t>用等级状况的多变性。</w:t>
        <w:tab/>
      </w:r>
      <w:r>
        <w:rPr>
          <w:rFonts w:ascii="Arial" w:eastAsia="Arial"/>
        </w:rPr>
        <w:t>2.</w:t>
      </w:r>
    </w:p>
    <w:p>
      <w:pPr>
        <w:pStyle w:val="BodyText"/>
        <w:rPr>
          <w:rFonts w:ascii="Arial"/>
          <w:sz w:val="30"/>
        </w:rPr>
      </w:pPr>
    </w:p>
    <w:p>
      <w:pPr>
        <w:pStyle w:val="BodyText"/>
        <w:spacing w:before="2"/>
        <w:rPr>
          <w:rFonts w:ascii="Arial"/>
        </w:rPr>
      </w:pPr>
    </w:p>
    <w:p>
      <w:pPr>
        <w:pStyle w:val="BodyText"/>
        <w:tabs>
          <w:tab w:pos="4099" w:val="left" w:leader="none"/>
          <w:tab w:pos="5299" w:val="left" w:leader="none"/>
        </w:tabs>
        <w:spacing w:line="720" w:lineRule="auto" w:before="1"/>
        <w:ind w:left="100" w:right="419"/>
      </w:pPr>
      <w:r>
        <w:rPr/>
        <w:t>宏观经济发展状况的不稳定性</w:t>
        <w:tab/>
      </w:r>
      <w:r>
        <w:rPr>
          <w:rFonts w:ascii="Arial" w:eastAsia="Arial"/>
        </w:rPr>
        <w:t>3.</w:t>
      </w:r>
      <w:r>
        <w:rPr/>
        <w:t>自然社会经济生活中可变事件的不确定性。</w:t>
      </w:r>
      <w:r>
        <w:rPr>
          <w:spacing w:val="49"/>
        </w:rPr>
        <w:t> </w:t>
      </w:r>
      <w:r>
        <w:rPr>
          <w:rFonts w:ascii="Arial" w:eastAsia="Arial"/>
        </w:rPr>
        <w:t>4.</w:t>
      </w:r>
      <w:r>
        <w:rPr>
          <w:rFonts w:ascii="Arial" w:eastAsia="Arial"/>
          <w:spacing w:val="-30"/>
        </w:rPr>
        <w:t> </w:t>
      </w:r>
      <w:r>
        <w:rPr/>
        <w:t>经济变量的不规则变动。</w:t>
        <w:tab/>
      </w:r>
      <w:r>
        <w:rPr>
          <w:rFonts w:ascii="Arial" w:eastAsia="Arial"/>
        </w:rPr>
        <w:t>5.</w:t>
      </w:r>
      <w:r>
        <w:rPr/>
        <w:t>社会诚信水平和信</w:t>
      </w:r>
      <w:r>
        <w:rPr>
          <w:spacing w:val="-17"/>
        </w:rPr>
        <w:t>用</w:t>
      </w:r>
    </w:p>
    <w:p>
      <w:pPr>
        <w:pStyle w:val="BodyText"/>
        <w:spacing w:before="21"/>
        <w:ind w:left="100"/>
      </w:pPr>
      <w:r>
        <w:rPr/>
        <w:t>状况，心理预期，信息的充分性，道德风险等。</w:t>
      </w:r>
    </w:p>
    <w:p>
      <w:pPr>
        <w:pStyle w:val="BodyText"/>
        <w:rPr>
          <w:sz w:val="30"/>
        </w:rPr>
      </w:pPr>
    </w:p>
    <w:p>
      <w:pPr>
        <w:pStyle w:val="BodyText"/>
        <w:rPr>
          <w:sz w:val="22"/>
        </w:rPr>
      </w:pPr>
    </w:p>
    <w:p>
      <w:pPr>
        <w:pStyle w:val="ListParagraph"/>
        <w:numPr>
          <w:ilvl w:val="0"/>
          <w:numId w:val="2"/>
        </w:numPr>
        <w:tabs>
          <w:tab w:pos="679" w:val="left" w:leader="none"/>
          <w:tab w:pos="680" w:val="left" w:leader="none"/>
        </w:tabs>
        <w:spacing w:line="240" w:lineRule="auto" w:before="1" w:after="0"/>
        <w:ind w:left="680" w:right="0" w:hanging="580"/>
        <w:jc w:val="left"/>
        <w:rPr>
          <w:sz w:val="26"/>
        </w:rPr>
      </w:pPr>
      <w:r>
        <w:rPr>
          <w:sz w:val="26"/>
        </w:rPr>
        <w:t>简述信用评价制度的作用。</w:t>
      </w:r>
    </w:p>
    <w:p>
      <w:pPr>
        <w:pStyle w:val="BodyText"/>
        <w:rPr>
          <w:sz w:val="30"/>
        </w:rPr>
      </w:pPr>
    </w:p>
    <w:p>
      <w:pPr>
        <w:pStyle w:val="BodyText"/>
        <w:spacing w:before="7"/>
        <w:rPr>
          <w:sz w:val="23"/>
        </w:rPr>
      </w:pPr>
    </w:p>
    <w:p>
      <w:pPr>
        <w:pStyle w:val="BodyText"/>
        <w:ind w:left="100"/>
      </w:pPr>
      <w:r>
        <w:rPr/>
        <w:t>答：信用评级制度在投资人与筹资人之间架起一道信息的桥梁，</w:t>
      </w:r>
    </w:p>
    <w:p>
      <w:pPr>
        <w:pStyle w:val="BodyText"/>
        <w:rPr>
          <w:sz w:val="30"/>
        </w:rPr>
      </w:pPr>
    </w:p>
    <w:p>
      <w:pPr>
        <w:pStyle w:val="BodyText"/>
        <w:tabs>
          <w:tab w:pos="7559" w:val="left" w:leader="none"/>
        </w:tabs>
        <w:spacing w:line="720" w:lineRule="auto" w:before="263"/>
        <w:ind w:left="100" w:right="199"/>
      </w:pPr>
      <w:r>
        <w:rPr/>
        <w:t>由客观公正的第三者对举债公司进行信用强度的调查分析，</w:t>
        <w:tab/>
        <w:t>并</w:t>
      </w:r>
      <w:r>
        <w:rPr>
          <w:spacing w:val="-18"/>
        </w:rPr>
        <w:t>将</w:t>
      </w:r>
      <w:r>
        <w:rPr/>
        <w:t>分析结果以简明的等级形式报道出来，作为投资人的决策参考，</w:t>
      </w:r>
    </w:p>
    <w:p>
      <w:pPr>
        <w:pStyle w:val="BodyText"/>
        <w:spacing w:before="21"/>
        <w:ind w:left="100"/>
      </w:pPr>
      <w:r>
        <w:rPr/>
        <w:t>是投资人的认知风险得以降低，资本市场得以顺畅运作。</w:t>
      </w:r>
    </w:p>
    <w:p>
      <w:pPr>
        <w:pStyle w:val="BodyText"/>
        <w:rPr>
          <w:sz w:val="30"/>
        </w:rPr>
      </w:pPr>
    </w:p>
    <w:p>
      <w:pPr>
        <w:pStyle w:val="BodyText"/>
        <w:spacing w:before="1"/>
        <w:rPr>
          <w:sz w:val="22"/>
        </w:rPr>
      </w:pPr>
    </w:p>
    <w:p>
      <w:pPr>
        <w:pStyle w:val="ListParagraph"/>
        <w:numPr>
          <w:ilvl w:val="0"/>
          <w:numId w:val="2"/>
        </w:numPr>
        <w:tabs>
          <w:tab w:pos="679" w:val="left" w:leader="none"/>
          <w:tab w:pos="680" w:val="left" w:leader="none"/>
        </w:tabs>
        <w:spacing w:line="240" w:lineRule="auto" w:before="0" w:after="0"/>
        <w:ind w:left="680" w:right="0" w:hanging="580"/>
        <w:jc w:val="left"/>
        <w:rPr>
          <w:sz w:val="26"/>
        </w:rPr>
      </w:pPr>
      <w:r>
        <w:rPr>
          <w:sz w:val="26"/>
        </w:rPr>
        <w:t>简述信用风险对流动性风险产生的影响。</w:t>
      </w:r>
    </w:p>
    <w:p>
      <w:pPr>
        <w:pStyle w:val="BodyText"/>
        <w:rPr>
          <w:sz w:val="30"/>
        </w:rPr>
      </w:pPr>
    </w:p>
    <w:p>
      <w:pPr>
        <w:pStyle w:val="BodyText"/>
        <w:spacing w:before="7"/>
        <w:rPr>
          <w:sz w:val="23"/>
        </w:rPr>
      </w:pPr>
    </w:p>
    <w:p>
      <w:pPr>
        <w:pStyle w:val="BodyText"/>
        <w:spacing w:line="720" w:lineRule="auto" w:before="1"/>
        <w:ind w:left="100" w:right="899"/>
      </w:pPr>
      <w:r>
        <w:rPr/>
        <w:t>答：信用风险会破坏流动性良性循环，防范于化解信用风险，也是避免流动性风险的要求。</w:t>
      </w:r>
    </w:p>
    <w:p>
      <w:pPr>
        <w:spacing w:after="0" w:line="720" w:lineRule="auto"/>
        <w:sectPr>
          <w:type w:val="continuous"/>
          <w:pgSz w:w="19120" w:h="27060"/>
          <w:pgMar w:top="1920" w:bottom="1780" w:left="1040" w:right="1060"/>
          <w:cols w:num="2" w:equalWidth="0">
            <w:col w:w="8141" w:space="599"/>
            <w:col w:w="8280"/>
          </w:cols>
        </w:sectPr>
      </w:pPr>
    </w:p>
    <w:p>
      <w:pPr>
        <w:pStyle w:val="ListParagraph"/>
        <w:numPr>
          <w:ilvl w:val="0"/>
          <w:numId w:val="2"/>
        </w:numPr>
        <w:tabs>
          <w:tab w:pos="679" w:val="left" w:leader="none"/>
          <w:tab w:pos="680" w:val="left" w:leader="none"/>
        </w:tabs>
        <w:spacing w:line="240" w:lineRule="auto" w:before="65" w:after="0"/>
        <w:ind w:left="680" w:right="0" w:hanging="580"/>
        <w:jc w:val="left"/>
        <w:rPr>
          <w:sz w:val="26"/>
        </w:rPr>
      </w:pPr>
      <w:r>
        <w:rPr>
          <w:sz w:val="26"/>
        </w:rPr>
        <w:t>简述预期收入理论的缺陷。</w:t>
      </w:r>
    </w:p>
    <w:p>
      <w:pPr>
        <w:pStyle w:val="BodyText"/>
        <w:rPr>
          <w:sz w:val="30"/>
        </w:rPr>
      </w:pPr>
    </w:p>
    <w:p>
      <w:pPr>
        <w:pStyle w:val="BodyText"/>
        <w:spacing w:before="8"/>
        <w:rPr>
          <w:sz w:val="23"/>
        </w:rPr>
      </w:pPr>
    </w:p>
    <w:p>
      <w:pPr>
        <w:pStyle w:val="BodyText"/>
        <w:spacing w:line="705" w:lineRule="auto"/>
        <w:ind w:left="100" w:right="939"/>
      </w:pPr>
      <w:r>
        <w:rPr/>
        <w:t>答：借款人的预期收入难以把握，因此按该种理论经营贷款会增加信贷风险。</w:t>
      </w:r>
    </w:p>
    <w:p>
      <w:pPr>
        <w:pStyle w:val="ListParagraph"/>
        <w:numPr>
          <w:ilvl w:val="0"/>
          <w:numId w:val="2"/>
        </w:numPr>
        <w:tabs>
          <w:tab w:pos="679" w:val="left" w:leader="none"/>
          <w:tab w:pos="680" w:val="left" w:leader="none"/>
        </w:tabs>
        <w:spacing w:line="240" w:lineRule="auto" w:before="21" w:after="0"/>
        <w:ind w:left="680" w:right="0" w:hanging="580"/>
        <w:jc w:val="left"/>
        <w:rPr>
          <w:sz w:val="26"/>
        </w:rPr>
      </w:pPr>
      <w:r>
        <w:rPr>
          <w:sz w:val="26"/>
        </w:rPr>
        <w:t>简述利用远期利率协定管理利率风险的利弊。</w:t>
      </w:r>
    </w:p>
    <w:p>
      <w:pPr>
        <w:pStyle w:val="BodyText"/>
        <w:rPr>
          <w:sz w:val="30"/>
        </w:rPr>
      </w:pPr>
    </w:p>
    <w:p>
      <w:pPr>
        <w:pStyle w:val="BodyText"/>
        <w:spacing w:before="8"/>
        <w:rPr>
          <w:sz w:val="23"/>
        </w:rPr>
      </w:pPr>
    </w:p>
    <w:p>
      <w:pPr>
        <w:pStyle w:val="BodyText"/>
        <w:tabs>
          <w:tab w:pos="959" w:val="left" w:leader="none"/>
          <w:tab w:pos="1839" w:val="left" w:leader="none"/>
          <w:tab w:pos="3159" w:val="left" w:leader="none"/>
          <w:tab w:pos="6099" w:val="left" w:leader="none"/>
          <w:tab w:pos="7859" w:val="left" w:leader="none"/>
        </w:tabs>
        <w:spacing w:line="720" w:lineRule="auto"/>
        <w:ind w:left="100" w:right="38"/>
      </w:pPr>
      <w:r>
        <w:rPr/>
        <w:t>答</w:t>
      </w:r>
      <w:r>
        <w:rPr>
          <w:spacing w:val="-22"/>
        </w:rPr>
        <w:t>：</w:t>
      </w:r>
      <w:r>
        <w:rPr>
          <w:rFonts w:ascii="Arial" w:eastAsia="Arial"/>
          <w:spacing w:val="-22"/>
        </w:rPr>
        <w:t>1</w:t>
      </w:r>
      <w:r>
        <w:rPr>
          <w:spacing w:val="-22"/>
        </w:rPr>
        <w:t>：</w:t>
      </w:r>
      <w:r>
        <w:rPr/>
        <w:t>优点</w:t>
        <w:tab/>
        <w:t>灵活性强</w:t>
        <w:tab/>
      </w:r>
      <w:r>
        <w:rPr>
          <w:rFonts w:ascii="Arial" w:eastAsia="Arial"/>
          <w:spacing w:val="7"/>
        </w:rPr>
        <w:t>,</w:t>
      </w:r>
      <w:r>
        <w:rPr/>
        <w:t>信用风险低，</w:t>
      </w:r>
      <w:r>
        <w:rPr>
          <w:spacing w:val="-30"/>
        </w:rPr>
        <w:t> </w:t>
      </w:r>
      <w:r>
        <w:rPr/>
        <w:t>交易便利与操作性强。</w:t>
        <w:tab/>
      </w:r>
      <w:r>
        <w:rPr>
          <w:rFonts w:ascii="Arial" w:eastAsia="Arial"/>
        </w:rPr>
        <w:t>2</w:t>
      </w:r>
      <w:r>
        <w:rPr/>
        <w:t>： 不足</w:t>
        <w:tab/>
        <w:t>相当期货，</w:t>
      </w:r>
      <w:r>
        <w:rPr>
          <w:spacing w:val="-10"/>
        </w:rPr>
        <w:t> </w:t>
      </w:r>
      <w:r>
        <w:rPr/>
        <w:t>期权而言，</w:t>
      </w:r>
      <w:r>
        <w:rPr>
          <w:spacing w:val="-30"/>
        </w:rPr>
        <w:t> </w:t>
      </w:r>
      <w:r>
        <w:rPr/>
        <w:t>信用风险要大一些</w:t>
        <w:tab/>
      </w:r>
      <w:r>
        <w:rPr>
          <w:rFonts w:ascii="Arial" w:eastAsia="Arial"/>
          <w:spacing w:val="7"/>
        </w:rPr>
        <w:t>;</w:t>
      </w:r>
      <w:r>
        <w:rPr/>
        <w:t>为场外交易，</w:t>
      </w:r>
      <w:r>
        <w:rPr>
          <w:spacing w:val="10"/>
        </w:rPr>
        <w:t> </w:t>
      </w:r>
      <w:r>
        <w:rPr/>
        <w:t>找</w:t>
      </w:r>
    </w:p>
    <w:p>
      <w:pPr>
        <w:pStyle w:val="BodyText"/>
        <w:spacing w:line="705" w:lineRule="auto" w:before="21"/>
        <w:ind w:left="100" w:right="939"/>
      </w:pPr>
      <w:r>
        <w:rPr/>
        <w:t>到交易对手难或者条件更为苛刻；结清不便；放弃了利率发生有利变动带来额外收益的可能性。</w:t>
      </w:r>
    </w:p>
    <w:p>
      <w:pPr>
        <w:pStyle w:val="ListParagraph"/>
        <w:numPr>
          <w:ilvl w:val="0"/>
          <w:numId w:val="2"/>
        </w:numPr>
        <w:tabs>
          <w:tab w:pos="679" w:val="left" w:leader="none"/>
          <w:tab w:pos="680" w:val="left" w:leader="none"/>
        </w:tabs>
        <w:spacing w:line="240" w:lineRule="auto" w:before="21" w:after="0"/>
        <w:ind w:left="680" w:right="0" w:hanging="580"/>
        <w:jc w:val="left"/>
        <w:rPr>
          <w:sz w:val="26"/>
        </w:rPr>
      </w:pPr>
      <w:r>
        <w:rPr>
          <w:sz w:val="26"/>
        </w:rPr>
        <w:t>简述利率期货的套期保值原理。</w:t>
      </w:r>
    </w:p>
    <w:p>
      <w:pPr>
        <w:pStyle w:val="BodyText"/>
        <w:rPr>
          <w:sz w:val="30"/>
        </w:rPr>
      </w:pPr>
    </w:p>
    <w:p>
      <w:pPr>
        <w:pStyle w:val="BodyText"/>
        <w:spacing w:before="8"/>
        <w:rPr>
          <w:sz w:val="23"/>
        </w:rPr>
      </w:pPr>
    </w:p>
    <w:p>
      <w:pPr>
        <w:pStyle w:val="BodyText"/>
        <w:ind w:left="100"/>
      </w:pPr>
      <w:r>
        <w:rPr/>
        <w:t>答：一般情况下，期货利率和现货利率的变动方向是一致的。因</w:t>
      </w:r>
    </w:p>
    <w:p>
      <w:pPr>
        <w:pStyle w:val="BodyText"/>
        <w:rPr>
          <w:sz w:val="30"/>
        </w:rPr>
      </w:pPr>
    </w:p>
    <w:p>
      <w:pPr>
        <w:pStyle w:val="BodyText"/>
        <w:spacing w:before="1"/>
        <w:rPr>
          <w:sz w:val="22"/>
        </w:rPr>
      </w:pPr>
    </w:p>
    <w:p>
      <w:pPr>
        <w:pStyle w:val="BodyText"/>
        <w:tabs>
          <w:tab w:pos="6119" w:val="left" w:leader="none"/>
        </w:tabs>
        <w:ind w:left="100"/>
      </w:pPr>
      <w:r>
        <w:rPr/>
        <w:t>此现货市场买进或者卖出一种有息资产的同时，</w:t>
        <w:tab/>
        <w:t>在期货市场上卖</w:t>
      </w:r>
    </w:p>
    <w:p>
      <w:pPr>
        <w:pStyle w:val="BodyText"/>
        <w:rPr>
          <w:sz w:val="30"/>
        </w:rPr>
      </w:pPr>
    </w:p>
    <w:p>
      <w:pPr>
        <w:pStyle w:val="BodyText"/>
        <w:spacing w:before="7"/>
        <w:rPr>
          <w:sz w:val="23"/>
        </w:rPr>
      </w:pPr>
    </w:p>
    <w:p>
      <w:pPr>
        <w:pStyle w:val="BodyText"/>
        <w:spacing w:before="1"/>
        <w:ind w:left="100"/>
      </w:pPr>
      <w:r>
        <w:rPr/>
        <w:t>出或者买进同等数额的同一有息资产就可以达到保值的目的。</w:t>
      </w:r>
    </w:p>
    <w:p>
      <w:pPr>
        <w:pStyle w:val="BodyText"/>
        <w:rPr>
          <w:sz w:val="30"/>
        </w:rPr>
      </w:pPr>
    </w:p>
    <w:p>
      <w:pPr>
        <w:pStyle w:val="ListParagraph"/>
        <w:numPr>
          <w:ilvl w:val="0"/>
          <w:numId w:val="2"/>
        </w:numPr>
        <w:tabs>
          <w:tab w:pos="679" w:val="left" w:leader="none"/>
          <w:tab w:pos="680" w:val="left" w:leader="none"/>
        </w:tabs>
        <w:spacing w:line="240" w:lineRule="auto" w:before="262" w:after="0"/>
        <w:ind w:left="680" w:right="0" w:hanging="580"/>
        <w:jc w:val="left"/>
        <w:rPr>
          <w:sz w:val="26"/>
        </w:rPr>
      </w:pPr>
      <w:r>
        <w:rPr>
          <w:sz w:val="26"/>
        </w:rPr>
        <w:t>简述经济风险与交易风险，折算风险的区别。</w:t>
      </w:r>
    </w:p>
    <w:p>
      <w:pPr>
        <w:pStyle w:val="BodyText"/>
        <w:rPr>
          <w:sz w:val="30"/>
        </w:rPr>
      </w:pPr>
    </w:p>
    <w:p>
      <w:pPr>
        <w:pStyle w:val="BodyText"/>
        <w:spacing w:before="1"/>
        <w:rPr>
          <w:sz w:val="22"/>
        </w:rPr>
      </w:pPr>
    </w:p>
    <w:p>
      <w:pPr>
        <w:pStyle w:val="BodyText"/>
        <w:ind w:left="100"/>
      </w:pPr>
      <w:r>
        <w:rPr/>
        <w:t>答：经济风险的影响是长期的，交易风险和折算风险的影响是一</w:t>
      </w:r>
    </w:p>
    <w:p>
      <w:pPr>
        <w:pStyle w:val="BodyText"/>
        <w:rPr>
          <w:sz w:val="30"/>
        </w:rPr>
      </w:pPr>
    </w:p>
    <w:p>
      <w:pPr>
        <w:pStyle w:val="BodyText"/>
        <w:spacing w:before="7"/>
        <w:rPr>
          <w:sz w:val="23"/>
        </w:rPr>
      </w:pPr>
    </w:p>
    <w:p>
      <w:pPr>
        <w:pStyle w:val="BodyText"/>
        <w:spacing w:line="720" w:lineRule="auto" w:before="1"/>
        <w:ind w:left="100" w:right="939"/>
      </w:pPr>
      <w:r>
        <w:rPr/>
        <w:t>次性的；经济风险引起的是潜在的损失，而交易风险和折算风险引起的分别是实际损失和账面损失。</w:t>
      </w:r>
    </w:p>
    <w:p>
      <w:pPr>
        <w:pStyle w:val="ListParagraph"/>
        <w:numPr>
          <w:ilvl w:val="0"/>
          <w:numId w:val="2"/>
        </w:numPr>
        <w:tabs>
          <w:tab w:pos="679" w:val="left" w:leader="none"/>
          <w:tab w:pos="680" w:val="left" w:leader="none"/>
          <w:tab w:pos="6419" w:val="left" w:leader="none"/>
        </w:tabs>
        <w:spacing w:line="705" w:lineRule="auto" w:before="21" w:after="0"/>
        <w:ind w:left="680" w:right="339" w:hanging="580"/>
        <w:jc w:val="left"/>
        <w:rPr>
          <w:sz w:val="26"/>
        </w:rPr>
      </w:pPr>
      <w:r>
        <w:rPr>
          <w:sz w:val="26"/>
        </w:rPr>
        <w:t>简述非银行经济主体的交易风险管理方法中，</w:t>
        <w:tab/>
        <w:t>选择有利的</w:t>
      </w:r>
      <w:r>
        <w:rPr>
          <w:spacing w:val="-18"/>
          <w:sz w:val="26"/>
        </w:rPr>
        <w:t>合</w:t>
      </w:r>
      <w:r>
        <w:rPr>
          <w:sz w:val="26"/>
        </w:rPr>
        <w:t>同货币所应遵循的基本原则。</w:t>
      </w:r>
    </w:p>
    <w:p>
      <w:pPr>
        <w:pStyle w:val="BodyText"/>
        <w:tabs>
          <w:tab w:pos="6179" w:val="left" w:leader="none"/>
        </w:tabs>
        <w:spacing w:before="21"/>
        <w:ind w:left="100"/>
      </w:pPr>
      <w:r>
        <w:rPr/>
        <w:t>答：选择有利的合同货币应遵循以下基本原则：</w:t>
        <w:tab/>
      </w:r>
      <w:r>
        <w:rPr>
          <w:rFonts w:ascii="Arial" w:eastAsia="Arial"/>
        </w:rPr>
        <w:t>1.</w:t>
      </w:r>
      <w:r>
        <w:rPr>
          <w:rFonts w:ascii="Arial" w:eastAsia="Arial"/>
          <w:spacing w:val="-51"/>
        </w:rPr>
        <w:t> </w:t>
      </w:r>
      <w:r>
        <w:rPr/>
        <w:t>争取使用本币</w:t>
      </w:r>
    </w:p>
    <w:p>
      <w:pPr>
        <w:pStyle w:val="BodyText"/>
        <w:rPr>
          <w:sz w:val="30"/>
        </w:rPr>
      </w:pPr>
    </w:p>
    <w:p>
      <w:pPr>
        <w:pStyle w:val="BodyText"/>
        <w:spacing w:before="8"/>
        <w:rPr>
          <w:sz w:val="23"/>
        </w:rPr>
      </w:pPr>
    </w:p>
    <w:p>
      <w:pPr>
        <w:pStyle w:val="BodyText"/>
        <w:spacing w:line="720" w:lineRule="auto"/>
        <w:ind w:left="100" w:right="895"/>
      </w:pPr>
      <w:r>
        <w:rPr>
          <w:rFonts w:ascii="Arial" w:eastAsia="Arial"/>
        </w:rPr>
        <w:t>2. </w:t>
      </w:r>
      <w:r>
        <w:rPr/>
        <w:t>出口或对外贷款争取使用硬货币，进口或向外借款争取使用软货币； </w:t>
      </w:r>
      <w:r>
        <w:rPr>
          <w:rFonts w:ascii="Arial" w:eastAsia="Arial"/>
        </w:rPr>
        <w:t>3. </w:t>
      </w:r>
      <w:r>
        <w:rPr/>
        <w:t>争取使用两种以上的软硬搭配的货币。</w:t>
      </w:r>
    </w:p>
    <w:p>
      <w:pPr>
        <w:pStyle w:val="BodyText"/>
        <w:tabs>
          <w:tab w:pos="679" w:val="left" w:leader="none"/>
        </w:tabs>
        <w:spacing w:before="21"/>
        <w:ind w:left="100"/>
      </w:pPr>
      <w:r>
        <w:rPr>
          <w:rFonts w:ascii="Arial" w:eastAsia="Arial"/>
        </w:rPr>
        <w:t>15.</w:t>
        <w:tab/>
      </w:r>
      <w:r>
        <w:rPr/>
        <w:t>操作风险管理的原则。</w:t>
      </w:r>
    </w:p>
    <w:p>
      <w:pPr>
        <w:pStyle w:val="BodyText"/>
        <w:rPr>
          <w:sz w:val="30"/>
        </w:rPr>
      </w:pPr>
    </w:p>
    <w:p>
      <w:pPr>
        <w:pStyle w:val="BodyText"/>
        <w:spacing w:before="1"/>
        <w:rPr>
          <w:sz w:val="22"/>
        </w:rPr>
      </w:pPr>
    </w:p>
    <w:p>
      <w:pPr>
        <w:pStyle w:val="BodyText"/>
        <w:ind w:left="100"/>
      </w:pPr>
      <w:r>
        <w:rPr/>
        <w:t>答：根据巴塞尔委员会提出的操作风险管理事项原则包括：</w:t>
      </w:r>
    </w:p>
    <w:p>
      <w:pPr>
        <w:pStyle w:val="BodyText"/>
        <w:spacing w:before="65"/>
        <w:ind w:left="100"/>
      </w:pPr>
      <w:r>
        <w:rPr/>
        <w:br w:type="column"/>
      </w:r>
      <w:r>
        <w:rPr>
          <w:rFonts w:ascii="Arial" w:eastAsia="Arial"/>
        </w:rPr>
        <w:t>1. </w:t>
      </w:r>
      <w:r>
        <w:rPr/>
        <w:t>董事会应当意识到操作风险管理的主要内容，应当批准，定期</w:t>
      </w:r>
    </w:p>
    <w:p>
      <w:pPr>
        <w:pStyle w:val="BodyText"/>
        <w:rPr>
          <w:sz w:val="30"/>
        </w:rPr>
      </w:pPr>
    </w:p>
    <w:p>
      <w:pPr>
        <w:pStyle w:val="BodyText"/>
        <w:spacing w:before="8"/>
        <w:rPr>
          <w:sz w:val="23"/>
        </w:rPr>
      </w:pPr>
    </w:p>
    <w:p>
      <w:pPr>
        <w:pStyle w:val="BodyText"/>
        <w:tabs>
          <w:tab w:pos="2419" w:val="left" w:leader="none"/>
          <w:tab w:pos="3999" w:val="left" w:leader="none"/>
        </w:tabs>
        <w:spacing w:line="720" w:lineRule="auto"/>
        <w:ind w:left="100" w:right="639"/>
      </w:pPr>
      <w:r>
        <w:rPr/>
        <w:t>复议银行操作风险管理框架。</w:t>
        <w:tab/>
      </w:r>
      <w:r>
        <w:rPr>
          <w:rFonts w:ascii="Arial" w:eastAsia="Arial"/>
        </w:rPr>
        <w:t>2.</w:t>
      </w:r>
      <w:r>
        <w:rPr>
          <w:rFonts w:ascii="Arial" w:eastAsia="Arial"/>
          <w:spacing w:val="-31"/>
        </w:rPr>
        <w:t> </w:t>
      </w:r>
      <w:r>
        <w:rPr/>
        <w:t>董事会应当保证由操作上独</w:t>
      </w:r>
      <w:r>
        <w:rPr>
          <w:spacing w:val="-17"/>
        </w:rPr>
        <w:t>立</w:t>
      </w:r>
      <w:r>
        <w:rPr/>
        <w:t>的，受过训练，有经验的人员对操作风险管理架构进行有效，全 面而独立的审计。</w:t>
        <w:tab/>
      </w:r>
      <w:r>
        <w:rPr>
          <w:rFonts w:ascii="Arial" w:eastAsia="Arial"/>
        </w:rPr>
        <w:t>3.</w:t>
      </w:r>
      <w:r>
        <w:rPr>
          <w:rFonts w:ascii="Arial" w:eastAsia="Arial"/>
          <w:spacing w:val="-51"/>
        </w:rPr>
        <w:t> </w:t>
      </w:r>
      <w:r>
        <w:rPr/>
        <w:t>高级管理人员有责任实施董事会批准的操作风险管理框架。</w:t>
      </w:r>
      <w:r>
        <w:rPr>
          <w:spacing w:val="69"/>
        </w:rPr>
        <w:t> </w:t>
      </w:r>
      <w:r>
        <w:rPr>
          <w:rFonts w:ascii="Arial" w:eastAsia="Arial"/>
        </w:rPr>
        <w:t>4.</w:t>
      </w:r>
      <w:r>
        <w:rPr>
          <w:rFonts w:ascii="Arial" w:eastAsia="Arial"/>
          <w:spacing w:val="-30"/>
        </w:rPr>
        <w:t> </w:t>
      </w:r>
      <w:r>
        <w:rPr/>
        <w:t>银行应该对所有重要的产品，业务活动，管理</w:t>
      </w:r>
    </w:p>
    <w:p>
      <w:pPr>
        <w:pStyle w:val="BodyText"/>
        <w:tabs>
          <w:tab w:pos="6479" w:val="left" w:leader="none"/>
        </w:tabs>
        <w:spacing w:before="2"/>
        <w:ind w:left="100"/>
      </w:pPr>
      <w:r>
        <w:rPr/>
        <w:t>过程，管理体系内在的操作风险进行确定和评估。</w:t>
        <w:tab/>
      </w:r>
      <w:r>
        <w:rPr>
          <w:rFonts w:ascii="Arial" w:eastAsia="Arial"/>
        </w:rPr>
        <w:t>5.</w:t>
      </w:r>
      <w:r>
        <w:rPr/>
        <w:t>银行应该对</w:t>
      </w:r>
    </w:p>
    <w:p>
      <w:pPr>
        <w:pStyle w:val="BodyText"/>
        <w:rPr>
          <w:sz w:val="30"/>
        </w:rPr>
      </w:pPr>
    </w:p>
    <w:p>
      <w:pPr>
        <w:pStyle w:val="BodyText"/>
        <w:spacing w:before="8"/>
        <w:rPr>
          <w:sz w:val="23"/>
        </w:rPr>
      </w:pPr>
    </w:p>
    <w:p>
      <w:pPr>
        <w:pStyle w:val="BodyText"/>
        <w:tabs>
          <w:tab w:pos="4979" w:val="left" w:leader="none"/>
          <w:tab w:pos="5599" w:val="left" w:leader="none"/>
        </w:tabs>
        <w:spacing w:line="720" w:lineRule="auto"/>
        <w:ind w:left="100" w:right="379"/>
      </w:pPr>
      <w:r>
        <w:rPr/>
        <w:t>操作风险和重大的损失进行日常监控，</w:t>
        <w:tab/>
        <w:t>对高级管理人员和董事会进行日常报告。</w:t>
      </w:r>
      <w:r>
        <w:rPr>
          <w:spacing w:val="100"/>
        </w:rPr>
        <w:t> </w:t>
      </w:r>
      <w:r>
        <w:rPr>
          <w:rFonts w:ascii="Arial" w:eastAsia="Arial"/>
        </w:rPr>
        <w:t>6.</w:t>
      </w:r>
      <w:r>
        <w:rPr>
          <w:rFonts w:ascii="Arial" w:eastAsia="Arial"/>
          <w:spacing w:val="1"/>
        </w:rPr>
        <w:t> </w:t>
      </w:r>
      <w:r>
        <w:rPr/>
        <w:t>银行应该有相应的政策，过程和程序来控制重大的操作风险，</w:t>
      </w:r>
      <w:r>
        <w:rPr>
          <w:spacing w:val="100"/>
        </w:rPr>
        <w:t> </w:t>
      </w:r>
      <w:r>
        <w:rPr>
          <w:rFonts w:ascii="Arial" w:eastAsia="Arial"/>
        </w:rPr>
        <w:t>7.</w:t>
      </w:r>
      <w:r>
        <w:rPr>
          <w:rFonts w:ascii="Arial" w:eastAsia="Arial"/>
          <w:spacing w:val="1"/>
        </w:rPr>
        <w:t> </w:t>
      </w:r>
      <w:r>
        <w:rPr/>
        <w:t>银行应具备业务连续计划，以保证连续业务操作能力，在业务中断的情况下使损失最小。</w:t>
        <w:tab/>
      </w:r>
      <w:r>
        <w:rPr>
          <w:rFonts w:ascii="Arial" w:eastAsia="Arial"/>
        </w:rPr>
        <w:t>8.</w:t>
      </w:r>
      <w:r>
        <w:rPr/>
        <w:t>银行监管当局应</w:t>
      </w:r>
      <w:r>
        <w:rPr>
          <w:spacing w:val="-17"/>
        </w:rPr>
        <w:t>要</w:t>
      </w:r>
      <w:r>
        <w:rPr/>
        <w:t>求所有银行建立一个有效的框架来确定，评估，控制和缓释操作</w:t>
      </w:r>
    </w:p>
    <w:p>
      <w:pPr>
        <w:pStyle w:val="BodyText"/>
        <w:tabs>
          <w:tab w:pos="3519" w:val="left" w:leader="none"/>
          <w:tab w:pos="4739" w:val="left" w:leader="none"/>
          <w:tab w:pos="4979" w:val="left" w:leader="none"/>
          <w:tab w:pos="6359" w:val="left" w:leader="none"/>
        </w:tabs>
        <w:spacing w:line="720" w:lineRule="auto" w:before="23"/>
        <w:ind w:left="100" w:right="156"/>
      </w:pPr>
      <w:r>
        <w:rPr/>
        <w:t>风险，作为全面风险管理的一部分。</w:t>
        <w:tab/>
      </w:r>
      <w:r>
        <w:rPr>
          <w:rFonts w:ascii="Arial" w:eastAsia="Arial"/>
        </w:rPr>
        <w:t>9.</w:t>
      </w:r>
      <w:r>
        <w:rPr>
          <w:rFonts w:ascii="Arial" w:eastAsia="Arial"/>
          <w:spacing w:val="-25"/>
        </w:rPr>
        <w:t> </w:t>
      </w:r>
      <w:r>
        <w:rPr/>
        <w:t>监管当局应该直接或间接地对银行操作风险的政策，</w:t>
        <w:tab/>
        <w:t>程序和做法进行日常，</w:t>
        <w:tab/>
        <w:t>独立评估。</w:t>
      </w:r>
      <w:r>
        <w:rPr>
          <w:spacing w:val="-29"/>
        </w:rPr>
        <w:t> </w:t>
      </w:r>
      <w:r>
        <w:rPr>
          <w:rFonts w:ascii="Arial" w:eastAsia="Arial"/>
          <w:spacing w:val="-6"/>
        </w:rPr>
        <w:t>10. </w:t>
      </w:r>
      <w:r>
        <w:rPr/>
        <w:t>银行应该进行充分而公开的信息披露，</w:t>
        <w:tab/>
        <w:tab/>
        <w:t>让市场参与者评估银行操 作风险的管理方法。</w:t>
      </w:r>
    </w:p>
    <w:p>
      <w:pPr>
        <w:pStyle w:val="BodyText"/>
        <w:tabs>
          <w:tab w:pos="679" w:val="left" w:leader="none"/>
        </w:tabs>
        <w:spacing w:before="3"/>
        <w:ind w:left="100"/>
      </w:pPr>
      <w:r>
        <w:rPr>
          <w:rFonts w:ascii="Arial" w:eastAsia="Arial"/>
        </w:rPr>
        <w:t>16.</w:t>
        <w:tab/>
      </w:r>
      <w:r>
        <w:rPr/>
        <w:t>操作风险评估和测量的步骤。</w:t>
      </w:r>
    </w:p>
    <w:p>
      <w:pPr>
        <w:pStyle w:val="BodyText"/>
        <w:rPr>
          <w:sz w:val="30"/>
        </w:rPr>
      </w:pPr>
    </w:p>
    <w:p>
      <w:pPr>
        <w:pStyle w:val="BodyText"/>
        <w:spacing w:before="7"/>
        <w:rPr>
          <w:sz w:val="23"/>
        </w:rPr>
      </w:pPr>
    </w:p>
    <w:p>
      <w:pPr>
        <w:pStyle w:val="BodyText"/>
        <w:tabs>
          <w:tab w:pos="2519" w:val="left" w:leader="none"/>
          <w:tab w:pos="5299" w:val="left" w:leader="none"/>
        </w:tabs>
        <w:spacing w:line="705" w:lineRule="auto" w:before="1"/>
        <w:ind w:left="100" w:right="219"/>
      </w:pPr>
      <w:r>
        <w:rPr/>
        <w:t>答：操作风险评估和测量包括四个步骤：</w:t>
        <w:tab/>
      </w:r>
      <w:r>
        <w:rPr>
          <w:rFonts w:ascii="Arial" w:eastAsia="Arial"/>
        </w:rPr>
        <w:t>1.</w:t>
      </w:r>
      <w:r>
        <w:rPr/>
        <w:t>收集信息</w:t>
      </w:r>
      <w:r>
        <w:rPr>
          <w:spacing w:val="70"/>
        </w:rPr>
        <w:t> </w:t>
      </w:r>
      <w:r>
        <w:rPr>
          <w:rFonts w:ascii="Arial" w:eastAsia="Arial"/>
        </w:rPr>
        <w:t>2.</w:t>
      </w:r>
      <w:r>
        <w:rPr>
          <w:rFonts w:ascii="Arial" w:eastAsia="Arial"/>
          <w:spacing w:val="-29"/>
        </w:rPr>
        <w:t> </w:t>
      </w:r>
      <w:r>
        <w:rPr/>
        <w:t>风险评</w:t>
      </w:r>
      <w:r>
        <w:rPr>
          <w:spacing w:val="-15"/>
        </w:rPr>
        <w:t>估</w:t>
      </w:r>
      <w:r>
        <w:rPr/>
        <w:t>框架</w:t>
      </w:r>
      <w:r>
        <w:rPr>
          <w:spacing w:val="-11"/>
        </w:rPr>
        <w:t> </w:t>
      </w:r>
      <w:r>
        <w:rPr>
          <w:rFonts w:ascii="Arial" w:eastAsia="Arial"/>
        </w:rPr>
        <w:t>3.</w:t>
      </w:r>
      <w:r>
        <w:rPr>
          <w:rFonts w:ascii="Arial" w:eastAsia="Arial"/>
          <w:spacing w:val="-30"/>
        </w:rPr>
        <w:t> </w:t>
      </w:r>
      <w:r>
        <w:rPr/>
        <w:t>考核和核实</w:t>
        <w:tab/>
      </w:r>
      <w:r>
        <w:rPr>
          <w:rFonts w:ascii="Arial" w:eastAsia="Arial"/>
        </w:rPr>
        <w:t>4.</w:t>
      </w:r>
      <w:r>
        <w:rPr>
          <w:rFonts w:ascii="Arial" w:eastAsia="Arial"/>
          <w:spacing w:val="-50"/>
        </w:rPr>
        <w:t> </w:t>
      </w:r>
      <w:r>
        <w:rPr/>
        <w:t>风险管理行动。</w:t>
      </w:r>
    </w:p>
    <w:p>
      <w:pPr>
        <w:pStyle w:val="ListParagraph"/>
        <w:numPr>
          <w:ilvl w:val="0"/>
          <w:numId w:val="3"/>
        </w:numPr>
        <w:tabs>
          <w:tab w:pos="480" w:val="left" w:leader="none"/>
          <w:tab w:pos="4559" w:val="left" w:leader="none"/>
        </w:tabs>
        <w:spacing w:line="240" w:lineRule="auto" w:before="21" w:after="0"/>
        <w:ind w:left="480" w:right="0" w:hanging="380"/>
        <w:jc w:val="left"/>
        <w:rPr>
          <w:sz w:val="26"/>
        </w:rPr>
      </w:pPr>
      <w:r>
        <w:rPr>
          <w:sz w:val="26"/>
        </w:rPr>
        <w:t>简述资本账户自由化的金融风险</w:t>
        <w:tab/>
        <w:t>。</w:t>
      </w:r>
    </w:p>
    <w:p>
      <w:pPr>
        <w:pStyle w:val="BodyText"/>
        <w:rPr>
          <w:sz w:val="30"/>
        </w:rPr>
      </w:pPr>
    </w:p>
    <w:p>
      <w:pPr>
        <w:pStyle w:val="BodyText"/>
        <w:spacing w:before="7"/>
        <w:rPr>
          <w:sz w:val="23"/>
        </w:rPr>
      </w:pPr>
    </w:p>
    <w:p>
      <w:pPr>
        <w:pStyle w:val="BodyText"/>
        <w:spacing w:line="720" w:lineRule="auto" w:before="1"/>
        <w:ind w:left="100" w:right="899"/>
      </w:pPr>
      <w:r>
        <w:rPr/>
        <w:t>答：资本账户自由化会带来如下金融风险：导致打量风险资本注入和资本的突然性逆转，影响宏观经济的稳定；带来过度借款和</w:t>
      </w:r>
    </w:p>
    <w:p>
      <w:pPr>
        <w:pStyle w:val="BodyText"/>
        <w:spacing w:line="720" w:lineRule="auto" w:before="21"/>
        <w:ind w:left="100" w:right="899"/>
      </w:pPr>
      <w:r>
        <w:rPr/>
        <w:t>道德风险，危及银行体系的稳定；为国际投机资本特别是国外套利冲击本国金融市场打开了方便之门。</w:t>
      </w:r>
    </w:p>
    <w:p>
      <w:pPr>
        <w:spacing w:after="0" w:line="720" w:lineRule="auto"/>
        <w:sectPr>
          <w:pgSz w:w="19120" w:h="27060"/>
          <w:pgMar w:header="1396" w:footer="1580" w:top="1920" w:bottom="1780" w:left="1040" w:right="1060"/>
          <w:cols w:num="2" w:equalWidth="0">
            <w:col w:w="8321" w:space="419"/>
            <w:col w:w="8280"/>
          </w:cols>
        </w:sectPr>
      </w:pPr>
    </w:p>
    <w:p>
      <w:pPr>
        <w:pStyle w:val="ListParagraph"/>
        <w:numPr>
          <w:ilvl w:val="0"/>
          <w:numId w:val="3"/>
        </w:numPr>
        <w:tabs>
          <w:tab w:pos="500" w:val="left" w:leader="none"/>
        </w:tabs>
        <w:spacing w:line="240" w:lineRule="auto" w:before="65" w:after="0"/>
        <w:ind w:left="500" w:right="0" w:hanging="400"/>
        <w:jc w:val="left"/>
        <w:rPr>
          <w:sz w:val="26"/>
        </w:rPr>
      </w:pPr>
      <w:r>
        <w:rPr>
          <w:sz w:val="26"/>
        </w:rPr>
        <w:t>简述金融风险与金融危机的相关性。</w:t>
      </w:r>
    </w:p>
    <w:p>
      <w:pPr>
        <w:pStyle w:val="BodyText"/>
        <w:rPr>
          <w:sz w:val="30"/>
        </w:rPr>
      </w:pPr>
    </w:p>
    <w:p>
      <w:pPr>
        <w:pStyle w:val="BodyText"/>
        <w:spacing w:before="8"/>
        <w:rPr>
          <w:sz w:val="23"/>
        </w:rPr>
      </w:pPr>
    </w:p>
    <w:p>
      <w:pPr>
        <w:pStyle w:val="BodyText"/>
        <w:spacing w:line="712" w:lineRule="auto"/>
        <w:ind w:left="100" w:right="799"/>
        <w:jc w:val="both"/>
      </w:pPr>
      <w:r>
        <w:rPr/>
        <w:t>答：金融风险与金融危机存在密切的关系，金融风险累积、国内突发事件、汇率政策和资本投机等，都可能引发或促使金融危机的爆发。</w:t>
      </w:r>
    </w:p>
    <w:p>
      <w:pPr>
        <w:pStyle w:val="ListParagraph"/>
        <w:numPr>
          <w:ilvl w:val="0"/>
          <w:numId w:val="3"/>
        </w:numPr>
        <w:tabs>
          <w:tab w:pos="500" w:val="left" w:leader="none"/>
        </w:tabs>
        <w:spacing w:line="240" w:lineRule="auto" w:before="32" w:after="0"/>
        <w:ind w:left="500" w:right="0" w:hanging="400"/>
        <w:jc w:val="left"/>
        <w:rPr>
          <w:sz w:val="26"/>
        </w:rPr>
      </w:pPr>
      <w:r>
        <w:rPr>
          <w:sz w:val="26"/>
        </w:rPr>
        <w:t>简要介绍网络金融的主要内容及特点。</w:t>
      </w:r>
    </w:p>
    <w:p>
      <w:pPr>
        <w:pStyle w:val="BodyText"/>
        <w:rPr>
          <w:sz w:val="30"/>
        </w:rPr>
      </w:pPr>
    </w:p>
    <w:p>
      <w:pPr>
        <w:pStyle w:val="BodyText"/>
        <w:rPr>
          <w:sz w:val="22"/>
        </w:rPr>
      </w:pPr>
    </w:p>
    <w:p>
      <w:pPr>
        <w:pStyle w:val="BodyText"/>
        <w:ind w:left="100"/>
      </w:pPr>
      <w:r>
        <w:rPr/>
        <w:t>答：网络金融主要包括：网络银行、网络保险、网络证券和网络</w:t>
      </w:r>
    </w:p>
    <w:p>
      <w:pPr>
        <w:pStyle w:val="BodyText"/>
        <w:rPr>
          <w:sz w:val="30"/>
        </w:rPr>
      </w:pPr>
    </w:p>
    <w:p>
      <w:pPr>
        <w:pStyle w:val="BodyText"/>
        <w:spacing w:before="8"/>
        <w:rPr>
          <w:sz w:val="23"/>
        </w:rPr>
      </w:pPr>
    </w:p>
    <w:p>
      <w:pPr>
        <w:pStyle w:val="BodyText"/>
        <w:ind w:left="100"/>
      </w:pPr>
      <w:r>
        <w:rPr/>
        <w:t>金融服务等</w:t>
      </w:r>
    </w:p>
    <w:p>
      <w:pPr>
        <w:pStyle w:val="BodyText"/>
        <w:rPr>
          <w:sz w:val="30"/>
        </w:rPr>
      </w:pPr>
    </w:p>
    <w:p>
      <w:pPr>
        <w:pStyle w:val="BodyText"/>
        <w:tabs>
          <w:tab w:pos="2239" w:val="left" w:leader="none"/>
          <w:tab w:pos="4499" w:val="left" w:leader="none"/>
          <w:tab w:pos="4919" w:val="left" w:leader="none"/>
          <w:tab w:pos="7139" w:val="left" w:leader="none"/>
        </w:tabs>
        <w:spacing w:line="720" w:lineRule="auto" w:before="263"/>
        <w:ind w:left="100" w:right="78"/>
      </w:pPr>
      <w:r>
        <w:rPr/>
        <w:t>网络银行特点：</w:t>
      </w:r>
      <w:r>
        <w:rPr>
          <w:spacing w:val="50"/>
        </w:rPr>
        <w:t> </w:t>
      </w:r>
      <w:r>
        <w:rPr>
          <w:rFonts w:ascii="Arial" w:eastAsia="Arial"/>
          <w:spacing w:val="15"/>
        </w:rPr>
        <w:t>1</w:t>
      </w:r>
      <w:r>
        <w:rPr/>
        <w:t>、电子虚拟服务方式</w:t>
        <w:tab/>
      </w:r>
      <w:r>
        <w:rPr>
          <w:rFonts w:ascii="Arial" w:eastAsia="Arial"/>
          <w:spacing w:val="15"/>
        </w:rPr>
        <w:t>2</w:t>
      </w:r>
      <w:r>
        <w:rPr/>
        <w:t>、运行环境开放</w:t>
        <w:tab/>
      </w:r>
      <w:r>
        <w:rPr>
          <w:rFonts w:ascii="Arial" w:eastAsia="Arial"/>
        </w:rPr>
        <w:t>3</w:t>
      </w:r>
      <w:r>
        <w:rPr>
          <w:rFonts w:ascii="Arial" w:eastAsia="Arial"/>
          <w:spacing w:val="-37"/>
        </w:rPr>
        <w:t> </w:t>
      </w:r>
      <w:r>
        <w:rPr/>
        <w:t>、模</w:t>
      </w:r>
      <w:r>
        <w:rPr>
          <w:spacing w:val="-17"/>
        </w:rPr>
        <w:t>糊</w:t>
      </w:r>
      <w:r>
        <w:rPr/>
        <w:t>的业务时空界限</w:t>
        <w:tab/>
      </w:r>
      <w:r>
        <w:rPr>
          <w:rFonts w:ascii="Arial" w:eastAsia="Arial"/>
          <w:spacing w:val="-5"/>
        </w:rPr>
        <w:t>4</w:t>
      </w:r>
      <w:r>
        <w:rPr/>
        <w:t>、业务实时处理</w:t>
        <w:tab/>
      </w:r>
      <w:r>
        <w:rPr>
          <w:rFonts w:ascii="Arial" w:eastAsia="Arial"/>
        </w:rPr>
        <w:t>5</w:t>
      </w:r>
      <w:r>
        <w:rPr>
          <w:rFonts w:ascii="Arial" w:eastAsia="Arial"/>
          <w:spacing w:val="-37"/>
        </w:rPr>
        <w:t> </w:t>
      </w:r>
      <w:r>
        <w:rPr/>
        <w:t>、交易费用与物理地点的非</w:t>
      </w:r>
    </w:p>
    <w:p>
      <w:pPr>
        <w:pStyle w:val="BodyText"/>
        <w:spacing w:before="21"/>
        <w:ind w:left="100"/>
      </w:pPr>
      <w:r>
        <w:rPr/>
        <w:t>相关性。</w:t>
      </w:r>
    </w:p>
    <w:p>
      <w:pPr>
        <w:pStyle w:val="BodyText"/>
        <w:rPr>
          <w:sz w:val="30"/>
        </w:rPr>
      </w:pPr>
    </w:p>
    <w:p>
      <w:pPr>
        <w:pStyle w:val="BodyText"/>
        <w:rPr>
          <w:sz w:val="22"/>
        </w:rPr>
      </w:pPr>
    </w:p>
    <w:p>
      <w:pPr>
        <w:pStyle w:val="BodyText"/>
        <w:spacing w:before="1"/>
        <w:ind w:left="100"/>
      </w:pPr>
      <w:r>
        <w:rPr/>
        <w:t>网络保险特点：扩大知名度，提高竞争力，简化保险商品交易手</w:t>
      </w:r>
    </w:p>
    <w:p>
      <w:pPr>
        <w:pStyle w:val="BodyText"/>
        <w:rPr>
          <w:sz w:val="30"/>
        </w:rPr>
      </w:pPr>
    </w:p>
    <w:p>
      <w:pPr>
        <w:pStyle w:val="BodyText"/>
        <w:spacing w:before="7"/>
        <w:rPr>
          <w:sz w:val="23"/>
        </w:rPr>
      </w:pPr>
    </w:p>
    <w:p>
      <w:pPr>
        <w:pStyle w:val="BodyText"/>
        <w:spacing w:line="705" w:lineRule="auto"/>
        <w:ind w:left="100" w:right="799"/>
      </w:pPr>
      <w:r>
        <w:rPr/>
        <w:t>续，提高效率，降低成本，方便保险产品的宣传，促进保险公司和保险消费者双方的相互了解，等等。</w:t>
      </w:r>
    </w:p>
    <w:p>
      <w:pPr>
        <w:pStyle w:val="BodyText"/>
        <w:spacing w:before="22"/>
        <w:ind w:left="100"/>
      </w:pPr>
      <w:r>
        <w:rPr/>
        <w:t>网络证券特点：没有时空界限，交易成本降低，对客户的服务质</w:t>
      </w:r>
    </w:p>
    <w:p>
      <w:pPr>
        <w:pStyle w:val="BodyText"/>
        <w:rPr>
          <w:sz w:val="30"/>
        </w:rPr>
      </w:pPr>
    </w:p>
    <w:p>
      <w:pPr>
        <w:pStyle w:val="BodyText"/>
        <w:spacing w:before="7"/>
        <w:rPr>
          <w:sz w:val="23"/>
        </w:rPr>
      </w:pPr>
    </w:p>
    <w:p>
      <w:pPr>
        <w:pStyle w:val="BodyText"/>
        <w:ind w:left="100"/>
      </w:pPr>
      <w:r>
        <w:rPr/>
        <w:t>量提高。</w:t>
      </w:r>
    </w:p>
    <w:p>
      <w:pPr>
        <w:pStyle w:val="BodyText"/>
        <w:rPr>
          <w:sz w:val="30"/>
        </w:rPr>
      </w:pPr>
    </w:p>
    <w:p>
      <w:pPr>
        <w:pStyle w:val="BodyText"/>
        <w:spacing w:before="1"/>
        <w:rPr>
          <w:sz w:val="22"/>
        </w:rPr>
      </w:pPr>
    </w:p>
    <w:p>
      <w:pPr>
        <w:pStyle w:val="ListParagraph"/>
        <w:numPr>
          <w:ilvl w:val="0"/>
          <w:numId w:val="3"/>
        </w:numPr>
        <w:tabs>
          <w:tab w:pos="500" w:val="left" w:leader="none"/>
        </w:tabs>
        <w:spacing w:line="240" w:lineRule="auto" w:before="0" w:after="0"/>
        <w:ind w:left="500" w:right="0" w:hanging="400"/>
        <w:jc w:val="left"/>
        <w:rPr>
          <w:sz w:val="26"/>
        </w:rPr>
      </w:pPr>
      <w:r>
        <w:rPr>
          <w:sz w:val="26"/>
        </w:rPr>
        <w:t>简要介绍网络银行的风险分类和风险管理。</w:t>
      </w:r>
    </w:p>
    <w:p>
      <w:pPr>
        <w:pStyle w:val="BodyText"/>
        <w:rPr>
          <w:sz w:val="30"/>
        </w:rPr>
      </w:pPr>
    </w:p>
    <w:p>
      <w:pPr>
        <w:pStyle w:val="BodyText"/>
        <w:spacing w:before="8"/>
        <w:rPr>
          <w:sz w:val="23"/>
        </w:rPr>
      </w:pPr>
    </w:p>
    <w:p>
      <w:pPr>
        <w:pStyle w:val="BodyText"/>
        <w:ind w:left="100"/>
      </w:pPr>
      <w:r>
        <w:rPr/>
        <w:t>答：主要有以下九类：信用风险、利率风险、流动性风险、价格</w:t>
      </w:r>
    </w:p>
    <w:p>
      <w:pPr>
        <w:pStyle w:val="BodyText"/>
        <w:rPr>
          <w:sz w:val="30"/>
        </w:rPr>
      </w:pPr>
    </w:p>
    <w:p>
      <w:pPr>
        <w:pStyle w:val="BodyText"/>
        <w:spacing w:line="720" w:lineRule="auto" w:before="262"/>
        <w:ind w:left="100" w:right="38"/>
      </w:pPr>
      <w:r>
        <w:rPr>
          <w:spacing w:val="-4"/>
        </w:rPr>
        <w:t>风险、外汇风险、 交易风险、 合规性风险、 战略风险、 声誉风险。</w:t>
      </w:r>
      <w:r>
        <w:rPr/>
        <w:t>网络银行风险管理分三步骤，即评估风险、管理和控制风险以及</w:t>
      </w:r>
    </w:p>
    <w:p>
      <w:pPr>
        <w:pStyle w:val="BodyText"/>
        <w:spacing w:before="22"/>
        <w:ind w:left="100"/>
      </w:pPr>
      <w:r>
        <w:rPr/>
        <w:t>监控风险。</w:t>
      </w:r>
    </w:p>
    <w:p>
      <w:pPr>
        <w:pStyle w:val="BodyText"/>
        <w:rPr>
          <w:sz w:val="30"/>
        </w:rPr>
      </w:pPr>
    </w:p>
    <w:p>
      <w:pPr>
        <w:pStyle w:val="BodyText"/>
        <w:rPr>
          <w:sz w:val="22"/>
        </w:rPr>
      </w:pPr>
    </w:p>
    <w:p>
      <w:pPr>
        <w:pStyle w:val="ListParagraph"/>
        <w:numPr>
          <w:ilvl w:val="0"/>
          <w:numId w:val="3"/>
        </w:numPr>
        <w:tabs>
          <w:tab w:pos="500" w:val="left" w:leader="none"/>
        </w:tabs>
        <w:spacing w:line="240" w:lineRule="auto" w:before="0" w:after="0"/>
        <w:ind w:left="500" w:right="0" w:hanging="400"/>
        <w:jc w:val="left"/>
        <w:rPr>
          <w:sz w:val="26"/>
        </w:rPr>
      </w:pPr>
      <w:r>
        <w:rPr>
          <w:sz w:val="26"/>
        </w:rPr>
        <w:t>简述无套利分析方法。</w:t>
      </w:r>
    </w:p>
    <w:p>
      <w:pPr>
        <w:pStyle w:val="BodyText"/>
        <w:rPr>
          <w:sz w:val="30"/>
        </w:rPr>
      </w:pPr>
    </w:p>
    <w:p>
      <w:pPr>
        <w:pStyle w:val="BodyText"/>
        <w:spacing w:before="8"/>
        <w:rPr>
          <w:sz w:val="23"/>
        </w:rPr>
      </w:pPr>
    </w:p>
    <w:p>
      <w:pPr>
        <w:pStyle w:val="BodyText"/>
        <w:spacing w:line="720" w:lineRule="auto"/>
        <w:ind w:left="100" w:right="799"/>
      </w:pPr>
      <w:r>
        <w:rPr/>
        <w:t>答：无套利分析法就是分析在没有套利机会存在时的金融资产价格。</w:t>
      </w:r>
    </w:p>
    <w:p>
      <w:pPr>
        <w:pStyle w:val="ListParagraph"/>
        <w:numPr>
          <w:ilvl w:val="0"/>
          <w:numId w:val="3"/>
        </w:numPr>
        <w:tabs>
          <w:tab w:pos="480" w:val="left" w:leader="none"/>
        </w:tabs>
        <w:spacing w:line="240" w:lineRule="auto" w:before="65" w:after="0"/>
        <w:ind w:left="480" w:right="0" w:hanging="380"/>
        <w:jc w:val="left"/>
        <w:rPr>
          <w:sz w:val="26"/>
        </w:rPr>
      </w:pPr>
      <w:r>
        <w:rPr>
          <w:sz w:val="26"/>
        </w:rPr>
        <w:br w:type="column"/>
        <w:t>简述收益与风险的关系。</w:t>
      </w:r>
    </w:p>
    <w:p>
      <w:pPr>
        <w:pStyle w:val="BodyText"/>
        <w:rPr>
          <w:sz w:val="30"/>
        </w:rPr>
      </w:pPr>
    </w:p>
    <w:p>
      <w:pPr>
        <w:pStyle w:val="BodyText"/>
        <w:spacing w:before="8"/>
        <w:rPr>
          <w:sz w:val="23"/>
        </w:rPr>
      </w:pPr>
    </w:p>
    <w:p>
      <w:pPr>
        <w:pStyle w:val="BodyText"/>
        <w:spacing w:line="712" w:lineRule="auto"/>
        <w:ind w:left="100" w:right="899"/>
      </w:pPr>
      <w:r>
        <w:rPr>
          <w:spacing w:val="-1"/>
        </w:rPr>
        <w:t>答：收益与风险是相对应的，即高收益通常与高风险对应，低收</w:t>
      </w:r>
      <w:r>
        <w:rPr/>
        <w:t>益与低风险对应。不符合此原则的收益率不可能长期存在。  </w:t>
      </w:r>
      <w:r>
        <w:rPr>
          <w:rFonts w:ascii="Arial" w:eastAsia="Arial"/>
        </w:rPr>
        <w:t>23</w:t>
      </w:r>
      <w:r>
        <w:rPr>
          <w:rFonts w:ascii="Arial" w:eastAsia="Arial"/>
          <w:spacing w:val="17"/>
        </w:rPr>
        <w:t> </w:t>
      </w:r>
      <w:r>
        <w:rPr/>
        <w:t>简述金融衍生工具的特征。</w:t>
      </w:r>
    </w:p>
    <w:p>
      <w:pPr>
        <w:pStyle w:val="BodyText"/>
        <w:tabs>
          <w:tab w:pos="2939" w:val="left" w:leader="none"/>
        </w:tabs>
        <w:spacing w:before="32"/>
        <w:ind w:left="100"/>
      </w:pPr>
      <w:r>
        <w:rPr/>
        <w:t>答</w:t>
      </w:r>
      <w:r>
        <w:rPr>
          <w:spacing w:val="-80"/>
        </w:rPr>
        <w:t>：</w:t>
      </w:r>
      <w:r>
        <w:rPr/>
        <w:t>《国际会计准则第</w:t>
        <w:tab/>
      </w:r>
      <w:r>
        <w:rPr>
          <w:rFonts w:ascii="Arial" w:eastAsia="Arial"/>
        </w:rPr>
        <w:t>39</w:t>
      </w:r>
      <w:r>
        <w:rPr>
          <w:rFonts w:ascii="Arial" w:eastAsia="Arial"/>
          <w:spacing w:val="17"/>
        </w:rPr>
        <w:t> </w:t>
      </w:r>
      <w:r>
        <w:rPr/>
        <w:t>号》将金融衍生工具的特征归纳如下：</w:t>
      </w:r>
    </w:p>
    <w:p>
      <w:pPr>
        <w:pStyle w:val="BodyText"/>
        <w:rPr>
          <w:sz w:val="30"/>
        </w:rPr>
      </w:pPr>
    </w:p>
    <w:p>
      <w:pPr>
        <w:pStyle w:val="BodyText"/>
        <w:rPr>
          <w:sz w:val="22"/>
        </w:rPr>
      </w:pPr>
    </w:p>
    <w:p>
      <w:pPr>
        <w:pStyle w:val="BodyText"/>
        <w:ind w:left="100"/>
      </w:pPr>
      <w:r>
        <w:rPr>
          <w:rFonts w:ascii="Arial" w:eastAsia="Arial"/>
        </w:rPr>
        <w:t>1 </w:t>
      </w:r>
      <w:r>
        <w:rPr/>
        <w:t>其价值随特定的利率、证券价格、商品价格、汇率、价格或利</w:t>
      </w:r>
    </w:p>
    <w:p>
      <w:pPr>
        <w:pStyle w:val="BodyText"/>
        <w:rPr>
          <w:sz w:val="30"/>
        </w:rPr>
      </w:pPr>
    </w:p>
    <w:p>
      <w:pPr>
        <w:pStyle w:val="BodyText"/>
        <w:spacing w:before="8"/>
        <w:rPr>
          <w:sz w:val="23"/>
        </w:rPr>
      </w:pPr>
    </w:p>
    <w:p>
      <w:pPr>
        <w:pStyle w:val="BodyText"/>
        <w:tabs>
          <w:tab w:pos="7339" w:val="left" w:leader="none"/>
        </w:tabs>
        <w:ind w:left="100"/>
      </w:pPr>
      <w:r>
        <w:rPr/>
        <w:t>率指数、信用等级、信用指数或类似变量的变动而变动；</w:t>
        <w:tab/>
      </w:r>
      <w:r>
        <w:rPr>
          <w:rFonts w:ascii="Arial" w:eastAsia="Arial"/>
        </w:rPr>
        <w:t>2</w:t>
      </w:r>
      <w:r>
        <w:rPr>
          <w:rFonts w:ascii="Arial" w:eastAsia="Arial"/>
          <w:spacing w:val="3"/>
        </w:rPr>
        <w:t> </w:t>
      </w:r>
      <w:r>
        <w:rPr/>
        <w:t>较少</w:t>
      </w:r>
    </w:p>
    <w:p>
      <w:pPr>
        <w:pStyle w:val="BodyText"/>
        <w:rPr>
          <w:sz w:val="30"/>
        </w:rPr>
      </w:pPr>
    </w:p>
    <w:p>
      <w:pPr>
        <w:pStyle w:val="BodyText"/>
        <w:spacing w:before="263"/>
        <w:ind w:left="100"/>
      </w:pPr>
      <w:r>
        <w:rPr/>
        <w:t>的净投资； </w:t>
      </w:r>
      <w:r>
        <w:rPr>
          <w:rFonts w:ascii="Arial" w:eastAsia="Arial"/>
        </w:rPr>
        <w:t>3 </w:t>
      </w:r>
      <w:r>
        <w:rPr/>
        <w:t>在未来日期结算。</w:t>
      </w:r>
    </w:p>
    <w:p>
      <w:pPr>
        <w:pStyle w:val="BodyText"/>
        <w:rPr>
          <w:sz w:val="30"/>
        </w:rPr>
      </w:pPr>
    </w:p>
    <w:p>
      <w:pPr>
        <w:pStyle w:val="BodyText"/>
        <w:rPr>
          <w:sz w:val="22"/>
        </w:rPr>
      </w:pPr>
    </w:p>
    <w:p>
      <w:pPr>
        <w:pStyle w:val="ListParagraph"/>
        <w:numPr>
          <w:ilvl w:val="0"/>
          <w:numId w:val="4"/>
        </w:numPr>
        <w:tabs>
          <w:tab w:pos="480" w:val="left" w:leader="none"/>
        </w:tabs>
        <w:spacing w:line="240" w:lineRule="auto" w:before="0" w:after="0"/>
        <w:ind w:left="480" w:right="0" w:hanging="380"/>
        <w:jc w:val="left"/>
        <w:rPr>
          <w:sz w:val="26"/>
        </w:rPr>
      </w:pPr>
      <w:r>
        <w:rPr>
          <w:sz w:val="26"/>
        </w:rPr>
        <w:t>简述市场风险的限额管理方法。</w:t>
      </w:r>
    </w:p>
    <w:p>
      <w:pPr>
        <w:pStyle w:val="BodyText"/>
        <w:rPr>
          <w:sz w:val="30"/>
        </w:rPr>
      </w:pPr>
    </w:p>
    <w:p>
      <w:pPr>
        <w:pStyle w:val="BodyText"/>
        <w:spacing w:before="8"/>
        <w:rPr>
          <w:sz w:val="23"/>
        </w:rPr>
      </w:pPr>
    </w:p>
    <w:p>
      <w:pPr>
        <w:pStyle w:val="BodyText"/>
        <w:spacing w:line="720" w:lineRule="auto"/>
        <w:ind w:left="100" w:right="899"/>
      </w:pPr>
      <w:r>
        <w:rPr/>
        <w:t>答：金融机构在进行衍生工具交易时，在对市场风险进行评估后应该设定相应的风险限额，从而构成风险限额体系。这是金融机</w:t>
      </w:r>
    </w:p>
    <w:p>
      <w:pPr>
        <w:pStyle w:val="BodyText"/>
        <w:tabs>
          <w:tab w:pos="2999" w:val="left" w:leader="none"/>
          <w:tab w:pos="3779" w:val="left" w:leader="none"/>
        </w:tabs>
        <w:spacing w:line="705" w:lineRule="auto" w:before="21"/>
        <w:ind w:left="100" w:right="159"/>
      </w:pPr>
      <w:r>
        <w:rPr/>
        <w:t>构管理市场风险的主要方法。</w:t>
        <w:tab/>
        <w:t>常用的风险限额包括：</w:t>
      </w:r>
      <w:r>
        <w:rPr>
          <w:spacing w:val="50"/>
        </w:rPr>
        <w:t> </w:t>
      </w:r>
      <w:r>
        <w:rPr/>
        <w:t>总头寸限额</w:t>
      </w:r>
      <w:r>
        <w:rPr>
          <w:spacing w:val="-18"/>
        </w:rPr>
        <w:t>、</w:t>
      </w:r>
      <w:r>
        <w:rPr/>
        <w:t>止损限额、缺口限额、</w:t>
        <w:tab/>
      </w:r>
      <w:r>
        <w:rPr>
          <w:rFonts w:ascii="Arial" w:eastAsia="Arial"/>
        </w:rPr>
        <w:t>VaR</w:t>
      </w:r>
      <w:r>
        <w:rPr>
          <w:rFonts w:ascii="Arial" w:eastAsia="Arial"/>
          <w:spacing w:val="61"/>
        </w:rPr>
        <w:t> </w:t>
      </w:r>
      <w:r>
        <w:rPr/>
        <w:t>限额和期权限额。</w:t>
      </w:r>
    </w:p>
    <w:p>
      <w:pPr>
        <w:pStyle w:val="ListParagraph"/>
        <w:numPr>
          <w:ilvl w:val="0"/>
          <w:numId w:val="4"/>
        </w:numPr>
        <w:tabs>
          <w:tab w:pos="480" w:val="left" w:leader="none"/>
        </w:tabs>
        <w:spacing w:line="240" w:lineRule="auto" w:before="22" w:after="0"/>
        <w:ind w:left="480" w:right="0" w:hanging="380"/>
        <w:jc w:val="left"/>
        <w:rPr>
          <w:sz w:val="26"/>
        </w:rPr>
      </w:pPr>
      <w:r>
        <w:rPr>
          <w:sz w:val="26"/>
        </w:rPr>
        <w:t>简述农村信用社的风险管理框架。</w:t>
      </w:r>
    </w:p>
    <w:p>
      <w:pPr>
        <w:pStyle w:val="BodyText"/>
        <w:rPr>
          <w:sz w:val="30"/>
        </w:rPr>
      </w:pPr>
    </w:p>
    <w:p>
      <w:pPr>
        <w:pStyle w:val="BodyText"/>
        <w:spacing w:before="7"/>
        <w:rPr>
          <w:sz w:val="23"/>
        </w:rPr>
      </w:pPr>
    </w:p>
    <w:p>
      <w:pPr>
        <w:pStyle w:val="BodyText"/>
        <w:spacing w:line="720" w:lineRule="auto"/>
        <w:ind w:left="100" w:right="899"/>
      </w:pPr>
      <w:r>
        <w:rPr/>
        <w:t>答：包括风险识别、风险估价、风险控制和风险的财务处理等主要环节。</w:t>
      </w:r>
    </w:p>
    <w:p>
      <w:pPr>
        <w:pStyle w:val="ListParagraph"/>
        <w:numPr>
          <w:ilvl w:val="0"/>
          <w:numId w:val="4"/>
        </w:numPr>
        <w:tabs>
          <w:tab w:pos="480" w:val="left" w:leader="none"/>
        </w:tabs>
        <w:spacing w:line="240" w:lineRule="auto" w:before="22" w:after="0"/>
        <w:ind w:left="480" w:right="0" w:hanging="380"/>
        <w:jc w:val="left"/>
        <w:rPr>
          <w:sz w:val="26"/>
        </w:rPr>
      </w:pPr>
      <w:r>
        <w:rPr>
          <w:sz w:val="26"/>
        </w:rPr>
        <w:t>简述金融租赁的主要风险。</w:t>
      </w:r>
    </w:p>
    <w:p>
      <w:pPr>
        <w:pStyle w:val="BodyText"/>
        <w:rPr>
          <w:sz w:val="30"/>
        </w:rPr>
      </w:pPr>
    </w:p>
    <w:p>
      <w:pPr>
        <w:pStyle w:val="BodyText"/>
        <w:spacing w:line="720" w:lineRule="auto" w:before="262"/>
        <w:ind w:left="100" w:right="179"/>
      </w:pPr>
      <w:r>
        <w:rPr>
          <w:spacing w:val="-8"/>
        </w:rPr>
        <w:t>答：信用风险、 利率风险、 汇率风险、 税务风险、 技术落后风险、</w:t>
      </w:r>
      <w:r>
        <w:rPr/>
        <w:t>政治风险、自然灾害风险、宏观经济风险、操作风险。</w:t>
      </w:r>
    </w:p>
    <w:p>
      <w:pPr>
        <w:pStyle w:val="ListParagraph"/>
        <w:numPr>
          <w:ilvl w:val="0"/>
          <w:numId w:val="4"/>
        </w:numPr>
        <w:tabs>
          <w:tab w:pos="480" w:val="left" w:leader="none"/>
          <w:tab w:pos="4559" w:val="left" w:leader="none"/>
        </w:tabs>
        <w:spacing w:line="240" w:lineRule="auto" w:before="21" w:after="0"/>
        <w:ind w:left="480" w:right="0" w:hanging="380"/>
        <w:jc w:val="left"/>
        <w:rPr>
          <w:rFonts w:ascii="Arial" w:eastAsia="Arial"/>
          <w:sz w:val="26"/>
        </w:rPr>
      </w:pPr>
      <w:r>
        <w:rPr>
          <w:sz w:val="26"/>
        </w:rPr>
        <w:t>简述证券公司风险管理的目标。</w:t>
        <w:tab/>
      </w:r>
      <w:r>
        <w:rPr>
          <w:rFonts w:ascii="Arial" w:eastAsia="Arial"/>
          <w:sz w:val="26"/>
        </w:rPr>
        <w:t>P106</w:t>
      </w:r>
    </w:p>
    <w:p>
      <w:pPr>
        <w:pStyle w:val="BodyText"/>
        <w:rPr>
          <w:rFonts w:ascii="Arial"/>
          <w:sz w:val="30"/>
        </w:rPr>
      </w:pPr>
    </w:p>
    <w:p>
      <w:pPr>
        <w:pStyle w:val="BodyText"/>
        <w:rPr>
          <w:rFonts w:ascii="Arial"/>
          <w:sz w:val="28"/>
        </w:rPr>
      </w:pPr>
    </w:p>
    <w:p>
      <w:pPr>
        <w:pStyle w:val="BodyText"/>
        <w:tabs>
          <w:tab w:pos="4519" w:val="left" w:leader="none"/>
        </w:tabs>
        <w:ind w:left="100"/>
      </w:pPr>
      <w:r>
        <w:rPr/>
        <w:t>答：</w:t>
      </w:r>
      <w:r>
        <w:rPr>
          <w:spacing w:val="-71"/>
        </w:rPr>
        <w:t> </w:t>
      </w:r>
      <w:r>
        <w:rPr>
          <w:rFonts w:ascii="Arial" w:eastAsia="Arial"/>
        </w:rPr>
        <w:t>1.</w:t>
      </w:r>
      <w:r>
        <w:rPr>
          <w:rFonts w:ascii="Arial" w:eastAsia="Arial"/>
          <w:spacing w:val="-50"/>
        </w:rPr>
        <w:t> </w:t>
      </w:r>
      <w:r>
        <w:rPr/>
        <w:t>证券公司风险管理的目标是：</w:t>
        <w:tab/>
        <w:t>（</w:t>
      </w:r>
      <w:r>
        <w:rPr>
          <w:spacing w:val="-90"/>
        </w:rPr>
        <w:t> </w:t>
      </w:r>
      <w:r>
        <w:rPr>
          <w:rFonts w:ascii="Arial" w:eastAsia="Arial"/>
          <w:spacing w:val="7"/>
        </w:rPr>
        <w:t>1</w:t>
      </w:r>
      <w:r>
        <w:rPr>
          <w:spacing w:val="7"/>
        </w:rPr>
        <w:t>）</w:t>
      </w:r>
      <w:r>
        <w:rPr/>
        <w:t>保护证券公司免受市场</w:t>
      </w:r>
    </w:p>
    <w:p>
      <w:pPr>
        <w:pStyle w:val="BodyText"/>
        <w:rPr>
          <w:sz w:val="30"/>
        </w:rPr>
      </w:pPr>
    </w:p>
    <w:p>
      <w:pPr>
        <w:pStyle w:val="BodyText"/>
        <w:spacing w:before="8"/>
        <w:rPr>
          <w:sz w:val="23"/>
        </w:rPr>
      </w:pPr>
    </w:p>
    <w:p>
      <w:pPr>
        <w:pStyle w:val="BodyText"/>
        <w:ind w:left="100"/>
      </w:pPr>
      <w:r>
        <w:rPr/>
        <w:t>风险，信用风险，流动性风险，操作风险以及法律风险的冲击和</w:t>
      </w:r>
    </w:p>
    <w:p>
      <w:pPr>
        <w:pStyle w:val="BodyText"/>
        <w:rPr>
          <w:sz w:val="30"/>
        </w:rPr>
      </w:pPr>
    </w:p>
    <w:p>
      <w:pPr>
        <w:pStyle w:val="BodyText"/>
        <w:spacing w:before="1"/>
        <w:rPr>
          <w:sz w:val="22"/>
        </w:rPr>
      </w:pPr>
    </w:p>
    <w:p>
      <w:pPr>
        <w:pStyle w:val="BodyText"/>
        <w:tabs>
          <w:tab w:pos="6859" w:val="left" w:leader="none"/>
        </w:tabs>
        <w:ind w:left="100"/>
      </w:pPr>
      <w:r>
        <w:rPr/>
        <w:t>损失</w:t>
      </w:r>
      <w:r>
        <w:rPr>
          <w:spacing w:val="-50"/>
        </w:rPr>
        <w:t>；（</w:t>
      </w:r>
      <w:r>
        <w:rPr>
          <w:spacing w:val="-90"/>
        </w:rPr>
        <w:t> </w:t>
      </w:r>
      <w:r>
        <w:rPr>
          <w:rFonts w:ascii="Arial" w:eastAsia="Arial"/>
        </w:rPr>
        <w:t>2</w:t>
      </w:r>
      <w:r>
        <w:rPr>
          <w:rFonts w:ascii="Arial" w:eastAsia="Arial"/>
          <w:spacing w:val="-37"/>
        </w:rPr>
        <w:t> </w:t>
      </w:r>
      <w:r>
        <w:rPr/>
        <w:t>）保护整个金融行业免受系统性风险的冲击；</w:t>
        <w:tab/>
      </w:r>
      <w:r>
        <w:rPr>
          <w:spacing w:val="10"/>
        </w:rPr>
        <w:t>（</w:t>
      </w:r>
      <w:r>
        <w:rPr>
          <w:rFonts w:ascii="Arial" w:eastAsia="Arial"/>
          <w:spacing w:val="10"/>
        </w:rPr>
        <w:t>3</w:t>
      </w:r>
      <w:r>
        <w:rPr>
          <w:rFonts w:ascii="Arial" w:eastAsia="Arial"/>
          <w:spacing w:val="-37"/>
        </w:rPr>
        <w:t> </w:t>
      </w:r>
      <w:r>
        <w:rPr/>
        <w:t>）保护</w:t>
      </w:r>
    </w:p>
    <w:p>
      <w:pPr>
        <w:spacing w:after="0"/>
        <w:sectPr>
          <w:pgSz w:w="19120" w:h="27060"/>
          <w:pgMar w:header="1396" w:footer="1580" w:top="1920" w:bottom="1780" w:left="1040" w:right="1060"/>
          <w:cols w:num="2" w:equalWidth="0">
            <w:col w:w="8181" w:space="559"/>
            <w:col w:w="8280"/>
          </w:cols>
        </w:sectPr>
      </w:pPr>
    </w:p>
    <w:p>
      <w:pPr>
        <w:pStyle w:val="BodyText"/>
        <w:tabs>
          <w:tab w:pos="4859" w:val="left" w:leader="none"/>
        </w:tabs>
        <w:spacing w:before="65"/>
        <w:ind w:left="100"/>
      </w:pPr>
      <w:r>
        <w:rPr/>
        <w:t>证劵公司的客户免受大的非市场损失。</w:t>
        <w:tab/>
        <w:t>（</w:t>
      </w:r>
      <w:r>
        <w:rPr>
          <w:rFonts w:ascii="Arial" w:eastAsia="Arial"/>
        </w:rPr>
        <w:t>4</w:t>
      </w:r>
      <w:r>
        <w:rPr>
          <w:rFonts w:ascii="Arial" w:eastAsia="Arial"/>
          <w:spacing w:val="-37"/>
        </w:rPr>
        <w:t> </w:t>
      </w:r>
      <w:r>
        <w:rPr/>
        <w:t>）保护证券公司免受信</w:t>
      </w:r>
    </w:p>
    <w:p>
      <w:pPr>
        <w:pStyle w:val="BodyText"/>
        <w:rPr>
          <w:sz w:val="30"/>
        </w:rPr>
      </w:pPr>
    </w:p>
    <w:p>
      <w:pPr>
        <w:pStyle w:val="BodyText"/>
        <w:spacing w:before="8"/>
        <w:rPr>
          <w:sz w:val="23"/>
        </w:rPr>
      </w:pPr>
    </w:p>
    <w:p>
      <w:pPr>
        <w:pStyle w:val="BodyText"/>
        <w:ind w:left="100"/>
      </w:pPr>
      <w:r>
        <w:rPr/>
        <w:t>誉风险。</w:t>
      </w:r>
    </w:p>
    <w:p>
      <w:pPr>
        <w:pStyle w:val="BodyText"/>
        <w:rPr>
          <w:sz w:val="30"/>
        </w:rPr>
      </w:pPr>
    </w:p>
    <w:p>
      <w:pPr>
        <w:pStyle w:val="ListParagraph"/>
        <w:numPr>
          <w:ilvl w:val="0"/>
          <w:numId w:val="4"/>
        </w:numPr>
        <w:tabs>
          <w:tab w:pos="500" w:val="left" w:leader="none"/>
          <w:tab w:pos="5119" w:val="left" w:leader="none"/>
        </w:tabs>
        <w:spacing w:line="240" w:lineRule="auto" w:before="262" w:after="0"/>
        <w:ind w:left="500" w:right="0" w:hanging="400"/>
        <w:jc w:val="left"/>
        <w:rPr>
          <w:rFonts w:ascii="Arial" w:eastAsia="Arial"/>
          <w:sz w:val="26"/>
        </w:rPr>
      </w:pPr>
      <w:r>
        <w:rPr>
          <w:sz w:val="26"/>
        </w:rPr>
        <w:t>简述证券公司经纪业务的风险管理。</w:t>
        <w:tab/>
      </w:r>
      <w:r>
        <w:rPr>
          <w:rFonts w:ascii="Arial" w:eastAsia="Arial"/>
          <w:sz w:val="26"/>
        </w:rPr>
        <w:t>P106</w:t>
      </w:r>
    </w:p>
    <w:p>
      <w:pPr>
        <w:pStyle w:val="BodyText"/>
        <w:rPr>
          <w:rFonts w:ascii="Arial"/>
          <w:sz w:val="30"/>
        </w:rPr>
      </w:pPr>
    </w:p>
    <w:p>
      <w:pPr>
        <w:pStyle w:val="BodyText"/>
        <w:rPr>
          <w:rFonts w:ascii="Arial"/>
          <w:sz w:val="28"/>
        </w:rPr>
      </w:pPr>
    </w:p>
    <w:p>
      <w:pPr>
        <w:pStyle w:val="BodyText"/>
        <w:tabs>
          <w:tab w:pos="5399" w:val="left" w:leader="none"/>
        </w:tabs>
        <w:ind w:left="100"/>
      </w:pPr>
      <w:r>
        <w:rPr/>
        <w:t>答</w:t>
      </w:r>
      <w:r>
        <w:rPr>
          <w:spacing w:val="-40"/>
        </w:rPr>
        <w:t>：</w:t>
      </w:r>
      <w:r>
        <w:rPr/>
        <w:t>经济业务的风险应着眼于制度的建设，</w:t>
        <w:tab/>
        <w:t>体现在以下几个方面：</w:t>
      </w:r>
    </w:p>
    <w:p>
      <w:pPr>
        <w:pStyle w:val="BodyText"/>
        <w:rPr>
          <w:sz w:val="30"/>
        </w:rPr>
      </w:pPr>
    </w:p>
    <w:p>
      <w:pPr>
        <w:pStyle w:val="BodyText"/>
        <w:spacing w:before="8"/>
        <w:rPr>
          <w:sz w:val="23"/>
        </w:rPr>
      </w:pPr>
    </w:p>
    <w:p>
      <w:pPr>
        <w:pStyle w:val="BodyText"/>
        <w:tabs>
          <w:tab w:pos="5939" w:val="left" w:leader="none"/>
        </w:tabs>
        <w:spacing w:line="720" w:lineRule="auto"/>
        <w:ind w:left="100" w:right="99"/>
      </w:pPr>
      <w:r>
        <w:rPr>
          <w:spacing w:val="10"/>
        </w:rPr>
        <w:t>（</w:t>
      </w:r>
      <w:r>
        <w:rPr>
          <w:rFonts w:ascii="Arial" w:eastAsia="Arial"/>
          <w:spacing w:val="10"/>
        </w:rPr>
        <w:t>1</w:t>
      </w:r>
      <w:r>
        <w:rPr>
          <w:rFonts w:ascii="Arial" w:eastAsia="Arial"/>
          <w:spacing w:val="-37"/>
        </w:rPr>
        <w:t> </w:t>
      </w:r>
      <w:r>
        <w:rPr/>
        <w:t>）建设健全证劵公司经纪业务的行业规范。</w:t>
        <w:tab/>
        <w:t>（</w:t>
      </w:r>
      <w:r>
        <w:rPr>
          <w:spacing w:val="-90"/>
        </w:rPr>
        <w:t> </w:t>
      </w:r>
      <w:r>
        <w:rPr>
          <w:rFonts w:ascii="Arial" w:eastAsia="Arial"/>
        </w:rPr>
        <w:t>2</w:t>
      </w:r>
      <w:r>
        <w:rPr>
          <w:rFonts w:ascii="Arial" w:eastAsia="Arial"/>
          <w:spacing w:val="-37"/>
        </w:rPr>
        <w:t> </w:t>
      </w:r>
      <w:r>
        <w:rPr/>
        <w:t>）建立公司</w:t>
      </w:r>
      <w:r>
        <w:rPr>
          <w:spacing w:val="-18"/>
        </w:rPr>
        <w:t>总</w:t>
      </w:r>
      <w:r>
        <w:rPr/>
        <w:t>部，经济业务部和营业部的三级风险控制体现，并对营业部的风</w:t>
      </w:r>
    </w:p>
    <w:p>
      <w:pPr>
        <w:pStyle w:val="BodyText"/>
        <w:tabs>
          <w:tab w:pos="3019" w:val="left" w:leader="none"/>
          <w:tab w:pos="3739" w:val="left" w:leader="none"/>
          <w:tab w:pos="6819" w:val="left" w:leader="none"/>
        </w:tabs>
        <w:spacing w:line="720" w:lineRule="auto" w:before="21"/>
        <w:ind w:left="100" w:right="38"/>
      </w:pPr>
      <w:r>
        <w:rPr/>
        <w:t>险程度进行分类监控（</w:t>
        <w:tab/>
      </w:r>
      <w:r>
        <w:rPr>
          <w:rFonts w:ascii="Arial" w:eastAsia="Arial"/>
        </w:rPr>
        <w:t>3</w:t>
      </w:r>
      <w:r>
        <w:rPr>
          <w:rFonts w:ascii="Arial" w:eastAsia="Arial"/>
          <w:spacing w:val="54"/>
        </w:rPr>
        <w:t> </w:t>
      </w:r>
      <w:r>
        <w:rPr/>
        <w:t>）利用现代化通信手段，加大信息系统 投入，通过卫星系统和地面</w:t>
        <w:tab/>
      </w:r>
      <w:r>
        <w:rPr>
          <w:rFonts w:ascii="Arial" w:eastAsia="Arial"/>
        </w:rPr>
        <w:t>DDN</w:t>
      </w:r>
      <w:r>
        <w:rPr>
          <w:rFonts w:ascii="Arial" w:eastAsia="Arial"/>
          <w:spacing w:val="28"/>
        </w:rPr>
        <w:t> </w:t>
      </w:r>
      <w:r>
        <w:rPr/>
        <w:t>，实现地空两条线，对营业部进行实时监控（</w:t>
      </w:r>
      <w:r>
        <w:rPr>
          <w:spacing w:val="71"/>
        </w:rPr>
        <w:t> </w:t>
      </w:r>
      <w:r>
        <w:rPr>
          <w:rFonts w:ascii="Arial" w:eastAsia="Arial"/>
        </w:rPr>
        <w:t>4</w:t>
      </w:r>
      <w:r>
        <w:rPr>
          <w:rFonts w:ascii="Arial" w:eastAsia="Arial"/>
          <w:spacing w:val="-15"/>
        </w:rPr>
        <w:t> </w:t>
      </w:r>
      <w:r>
        <w:rPr/>
        <w:t>）加强稽核审计的力度，确保营业部财务明晰， 及时与总公司结算，完善各类突发事件的应变措施（</w:t>
        <w:tab/>
      </w:r>
      <w:r>
        <w:rPr>
          <w:rFonts w:ascii="Arial" w:eastAsia="Arial"/>
        </w:rPr>
        <w:t>5</w:t>
      </w:r>
      <w:r>
        <w:rPr>
          <w:rFonts w:ascii="Arial" w:eastAsia="Arial"/>
          <w:spacing w:val="-37"/>
        </w:rPr>
        <w:t> </w:t>
      </w:r>
      <w:r>
        <w:rPr/>
        <w:t>）对要</w:t>
      </w:r>
      <w:r>
        <w:rPr>
          <w:spacing w:val="-17"/>
        </w:rPr>
        <w:t>害</w:t>
      </w:r>
      <w:r>
        <w:rPr/>
        <w:t>岗位实行不定期检查，采取主要负责人员轮岗制度，防止工作人</w:t>
      </w:r>
    </w:p>
    <w:p>
      <w:pPr>
        <w:pStyle w:val="BodyText"/>
        <w:tabs>
          <w:tab w:pos="5359" w:val="left" w:leader="none"/>
        </w:tabs>
        <w:spacing w:line="712" w:lineRule="auto" w:before="24"/>
        <w:ind w:left="100" w:right="199"/>
      </w:pPr>
      <w:r>
        <w:rPr/>
        <w:t>员利用职务之便作案，给公司造成损失（</w:t>
        <w:tab/>
      </w:r>
      <w:r>
        <w:rPr>
          <w:rFonts w:ascii="Arial" w:eastAsia="Arial"/>
        </w:rPr>
        <w:t>6</w:t>
      </w:r>
      <w:r>
        <w:rPr>
          <w:rFonts w:ascii="Arial" w:eastAsia="Arial"/>
          <w:spacing w:val="-37"/>
        </w:rPr>
        <w:t> </w:t>
      </w:r>
      <w:r>
        <w:rPr/>
        <w:t>）及时调整经纪业</w:t>
      </w:r>
      <w:r>
        <w:rPr>
          <w:spacing w:val="-18"/>
        </w:rPr>
        <w:t>务</w:t>
      </w:r>
      <w:r>
        <w:rPr/>
        <w:t>的发展战略，积极应对技术环境的变换给经纪业务带来的挑战。  </w:t>
      </w:r>
      <w:r>
        <w:rPr>
          <w:rFonts w:ascii="Arial" w:eastAsia="Arial"/>
        </w:rPr>
        <w:t>29</w:t>
      </w:r>
      <w:r>
        <w:rPr>
          <w:rFonts w:ascii="Arial" w:eastAsia="Arial"/>
          <w:spacing w:val="38"/>
        </w:rPr>
        <w:t> </w:t>
      </w:r>
      <w:r>
        <w:rPr/>
        <w:t>保险资金运用风险管理的主要内容是什么？</w:t>
      </w:r>
    </w:p>
    <w:p>
      <w:pPr>
        <w:pStyle w:val="BodyText"/>
        <w:tabs>
          <w:tab w:pos="6159" w:val="left" w:leader="none"/>
        </w:tabs>
        <w:spacing w:before="31"/>
        <w:ind w:left="100"/>
      </w:pPr>
      <w:r>
        <w:rPr/>
        <w:t>答：</w:t>
      </w:r>
      <w:r>
        <w:rPr>
          <w:spacing w:val="-70"/>
        </w:rPr>
        <w:t> </w:t>
      </w:r>
      <w:r>
        <w:rPr>
          <w:rFonts w:ascii="Arial" w:eastAsia="Arial"/>
        </w:rPr>
        <w:t>1</w:t>
      </w:r>
      <w:r>
        <w:rPr>
          <w:rFonts w:ascii="Arial" w:eastAsia="Arial"/>
          <w:spacing w:val="42"/>
        </w:rPr>
        <w:t> </w:t>
      </w:r>
      <w:r>
        <w:rPr/>
        <w:t>完善保险资金运用管理体制和运行机制。</w:t>
        <w:tab/>
      </w:r>
      <w:r>
        <w:rPr>
          <w:rFonts w:ascii="Arial" w:eastAsia="Arial"/>
        </w:rPr>
        <w:t>2</w:t>
      </w:r>
      <w:r>
        <w:rPr>
          <w:rFonts w:ascii="Arial" w:eastAsia="Arial"/>
          <w:spacing w:val="42"/>
        </w:rPr>
        <w:t> </w:t>
      </w:r>
      <w:r>
        <w:rPr/>
        <w:t>提高保险资金</w:t>
      </w:r>
    </w:p>
    <w:p>
      <w:pPr>
        <w:pStyle w:val="BodyText"/>
        <w:rPr>
          <w:sz w:val="30"/>
        </w:rPr>
      </w:pPr>
    </w:p>
    <w:p>
      <w:pPr>
        <w:pStyle w:val="BodyText"/>
        <w:spacing w:before="1"/>
        <w:rPr>
          <w:sz w:val="22"/>
        </w:rPr>
      </w:pPr>
    </w:p>
    <w:p>
      <w:pPr>
        <w:pStyle w:val="BodyText"/>
        <w:ind w:left="100"/>
      </w:pPr>
      <w:r>
        <w:rPr/>
        <w:t>运用管理水平。 </w:t>
      </w:r>
      <w:r>
        <w:rPr>
          <w:rFonts w:ascii="Arial" w:eastAsia="Arial"/>
        </w:rPr>
        <w:t>3 </w:t>
      </w:r>
      <w:r>
        <w:rPr/>
        <w:t>建立保险资金运用风险控制的制衡机制。</w:t>
      </w:r>
    </w:p>
    <w:p>
      <w:pPr>
        <w:pStyle w:val="BodyText"/>
        <w:rPr>
          <w:sz w:val="30"/>
        </w:rPr>
      </w:pPr>
    </w:p>
    <w:p>
      <w:pPr>
        <w:pStyle w:val="BodyText"/>
        <w:spacing w:before="8"/>
        <w:rPr>
          <w:sz w:val="23"/>
        </w:rPr>
      </w:pPr>
    </w:p>
    <w:p>
      <w:pPr>
        <w:pStyle w:val="ListParagraph"/>
        <w:numPr>
          <w:ilvl w:val="0"/>
          <w:numId w:val="5"/>
        </w:numPr>
        <w:tabs>
          <w:tab w:pos="500" w:val="left" w:leader="none"/>
        </w:tabs>
        <w:spacing w:line="240" w:lineRule="auto" w:before="0" w:after="0"/>
        <w:ind w:left="500" w:right="0" w:hanging="400"/>
        <w:jc w:val="left"/>
        <w:rPr>
          <w:sz w:val="26"/>
        </w:rPr>
      </w:pPr>
      <w:r>
        <w:rPr>
          <w:sz w:val="26"/>
        </w:rPr>
        <w:t>保险公司财务风险主要包括哪些类型？</w:t>
      </w:r>
    </w:p>
    <w:p>
      <w:pPr>
        <w:pStyle w:val="BodyText"/>
        <w:rPr>
          <w:sz w:val="30"/>
        </w:rPr>
      </w:pPr>
    </w:p>
    <w:p>
      <w:pPr>
        <w:pStyle w:val="BodyText"/>
        <w:spacing w:line="720" w:lineRule="auto" w:before="262"/>
        <w:ind w:left="100" w:right="699"/>
      </w:pPr>
      <w:r>
        <w:rPr/>
        <w:t>答：主要包括现金流动性风险、会计核算工作风险、费用控制风险和资产负债匹配风险等。</w:t>
      </w:r>
    </w:p>
    <w:p>
      <w:pPr>
        <w:pStyle w:val="ListParagraph"/>
        <w:numPr>
          <w:ilvl w:val="0"/>
          <w:numId w:val="5"/>
        </w:numPr>
        <w:tabs>
          <w:tab w:pos="500" w:val="left" w:leader="none"/>
        </w:tabs>
        <w:spacing w:line="240" w:lineRule="auto" w:before="22" w:after="0"/>
        <w:ind w:left="500" w:right="0" w:hanging="400"/>
        <w:jc w:val="left"/>
        <w:rPr>
          <w:sz w:val="26"/>
        </w:rPr>
      </w:pPr>
      <w:r>
        <w:rPr>
          <w:sz w:val="26"/>
        </w:rPr>
        <w:t>简述商业银行中间业务风险管理的对策与措施。</w:t>
      </w:r>
    </w:p>
    <w:p>
      <w:pPr>
        <w:pStyle w:val="BodyText"/>
        <w:rPr>
          <w:sz w:val="30"/>
        </w:rPr>
      </w:pPr>
    </w:p>
    <w:p>
      <w:pPr>
        <w:pStyle w:val="BodyText"/>
        <w:rPr>
          <w:sz w:val="22"/>
        </w:rPr>
      </w:pPr>
    </w:p>
    <w:p>
      <w:pPr>
        <w:pStyle w:val="BodyText"/>
        <w:tabs>
          <w:tab w:pos="5859" w:val="left" w:leader="none"/>
        </w:tabs>
        <w:ind w:left="100"/>
      </w:pPr>
      <w:r>
        <w:rPr/>
        <w:t>答：</w:t>
      </w:r>
      <w:r>
        <w:rPr>
          <w:spacing w:val="-70"/>
        </w:rPr>
        <w:t> </w:t>
      </w:r>
      <w:r>
        <w:rPr>
          <w:rFonts w:ascii="Arial" w:eastAsia="Arial"/>
        </w:rPr>
        <w:t>1</w:t>
      </w:r>
      <w:r>
        <w:rPr>
          <w:rFonts w:ascii="Arial" w:eastAsia="Arial"/>
          <w:spacing w:val="42"/>
        </w:rPr>
        <w:t> </w:t>
      </w:r>
      <w:r>
        <w:rPr/>
        <w:t>监管部门加强对中间业务风险的监管。</w:t>
        <w:tab/>
      </w:r>
      <w:r>
        <w:rPr>
          <w:rFonts w:ascii="Arial" w:eastAsia="Arial"/>
        </w:rPr>
        <w:t>2</w:t>
      </w:r>
      <w:r>
        <w:rPr>
          <w:rFonts w:ascii="Arial" w:eastAsia="Arial"/>
          <w:spacing w:val="62"/>
        </w:rPr>
        <w:t> </w:t>
      </w:r>
      <w:r>
        <w:rPr/>
        <w:t>加强中间业务风</w:t>
      </w:r>
    </w:p>
    <w:p>
      <w:pPr>
        <w:pStyle w:val="BodyText"/>
        <w:rPr>
          <w:sz w:val="30"/>
        </w:rPr>
      </w:pPr>
    </w:p>
    <w:p>
      <w:pPr>
        <w:pStyle w:val="BodyText"/>
        <w:spacing w:before="8"/>
        <w:rPr>
          <w:sz w:val="23"/>
        </w:rPr>
      </w:pPr>
    </w:p>
    <w:p>
      <w:pPr>
        <w:pStyle w:val="BodyText"/>
        <w:tabs>
          <w:tab w:pos="5599" w:val="left" w:leader="none"/>
        </w:tabs>
        <w:ind w:left="100"/>
      </w:pPr>
      <w:r>
        <w:rPr/>
        <w:t>险的内部管理，建立相互制约的组织结构。</w:t>
        <w:tab/>
      </w:r>
      <w:r>
        <w:rPr>
          <w:rFonts w:ascii="Arial" w:eastAsia="Arial"/>
        </w:rPr>
        <w:t>3</w:t>
      </w:r>
      <w:r>
        <w:rPr>
          <w:rFonts w:ascii="Arial" w:eastAsia="Arial"/>
          <w:spacing w:val="23"/>
        </w:rPr>
        <w:t> </w:t>
      </w:r>
      <w:r>
        <w:rPr/>
        <w:t>健全中间业务风险</w:t>
      </w:r>
    </w:p>
    <w:p>
      <w:pPr>
        <w:pStyle w:val="BodyText"/>
        <w:rPr>
          <w:sz w:val="30"/>
        </w:rPr>
      </w:pPr>
    </w:p>
    <w:p>
      <w:pPr>
        <w:pStyle w:val="BodyText"/>
        <w:rPr>
          <w:sz w:val="22"/>
        </w:rPr>
      </w:pPr>
    </w:p>
    <w:p>
      <w:pPr>
        <w:pStyle w:val="BodyText"/>
        <w:tabs>
          <w:tab w:pos="5599" w:val="left" w:leader="none"/>
        </w:tabs>
        <w:spacing w:before="1"/>
        <w:ind w:left="100"/>
      </w:pPr>
      <w:r>
        <w:rPr/>
        <w:t>管理制度，如统计制度、信息披露制度等。</w:t>
        <w:tab/>
      </w:r>
      <w:r>
        <w:rPr>
          <w:rFonts w:ascii="Arial" w:eastAsia="Arial"/>
        </w:rPr>
        <w:t>4</w:t>
      </w:r>
      <w:r>
        <w:rPr>
          <w:rFonts w:ascii="Arial" w:eastAsia="Arial"/>
          <w:spacing w:val="23"/>
        </w:rPr>
        <w:t> </w:t>
      </w:r>
      <w:r>
        <w:rPr/>
        <w:t>优化客户结构，合</w:t>
      </w:r>
    </w:p>
    <w:p>
      <w:pPr>
        <w:pStyle w:val="BodyText"/>
        <w:spacing w:before="65"/>
        <w:ind w:left="100"/>
      </w:pPr>
      <w:r>
        <w:rPr/>
        <w:br w:type="column"/>
      </w:r>
      <w:r>
        <w:rPr/>
        <w:t>理确定中间业务的范围。</w:t>
      </w:r>
    </w:p>
    <w:p>
      <w:pPr>
        <w:pStyle w:val="BodyText"/>
        <w:rPr>
          <w:sz w:val="30"/>
        </w:rPr>
      </w:pPr>
    </w:p>
    <w:p>
      <w:pPr>
        <w:pStyle w:val="BodyText"/>
        <w:spacing w:before="8"/>
        <w:rPr>
          <w:sz w:val="23"/>
        </w:rPr>
      </w:pPr>
    </w:p>
    <w:p>
      <w:pPr>
        <w:pStyle w:val="ListParagraph"/>
        <w:numPr>
          <w:ilvl w:val="0"/>
          <w:numId w:val="5"/>
        </w:numPr>
        <w:tabs>
          <w:tab w:pos="480" w:val="left" w:leader="none"/>
        </w:tabs>
        <w:spacing w:line="240" w:lineRule="auto" w:before="0" w:after="0"/>
        <w:ind w:left="480" w:right="0" w:hanging="380"/>
        <w:jc w:val="left"/>
        <w:rPr>
          <w:sz w:val="26"/>
        </w:rPr>
      </w:pPr>
      <w:r>
        <w:rPr>
          <w:sz w:val="26"/>
        </w:rPr>
        <w:t>简述商业银行不良资产化解与处置的主要方式。</w:t>
      </w:r>
    </w:p>
    <w:p>
      <w:pPr>
        <w:pStyle w:val="BodyText"/>
        <w:rPr>
          <w:sz w:val="30"/>
        </w:rPr>
      </w:pPr>
    </w:p>
    <w:p>
      <w:pPr>
        <w:pStyle w:val="BodyText"/>
        <w:tabs>
          <w:tab w:pos="2679" w:val="left" w:leader="none"/>
          <w:tab w:pos="7059" w:val="left" w:leader="none"/>
        </w:tabs>
        <w:spacing w:before="262"/>
        <w:ind w:left="100"/>
      </w:pPr>
      <w:r>
        <w:rPr/>
        <w:t>答</w:t>
      </w:r>
      <w:r>
        <w:rPr>
          <w:spacing w:val="10"/>
        </w:rPr>
        <w:t>：</w:t>
      </w:r>
      <w:r>
        <w:rPr>
          <w:rFonts w:ascii="Arial" w:eastAsia="Arial"/>
          <w:spacing w:val="10"/>
        </w:rPr>
        <w:t>1</w:t>
      </w:r>
      <w:r>
        <w:rPr>
          <w:rFonts w:ascii="Arial" w:eastAsia="Arial"/>
          <w:spacing w:val="23"/>
        </w:rPr>
        <w:t> </w:t>
      </w:r>
      <w:r>
        <w:rPr/>
        <w:t>内部消化方式</w:t>
        <w:tab/>
      </w:r>
      <w:r>
        <w:rPr>
          <w:rFonts w:ascii="Arial" w:eastAsia="Arial"/>
        </w:rPr>
        <w:t>2</w:t>
      </w:r>
      <w:r>
        <w:rPr>
          <w:rFonts w:ascii="Arial" w:eastAsia="Arial"/>
          <w:spacing w:val="23"/>
        </w:rPr>
        <w:t> </w:t>
      </w:r>
      <w:r>
        <w:rPr/>
        <w:t>分离方式</w:t>
      </w:r>
      <w:r>
        <w:rPr>
          <w:spacing w:val="50"/>
        </w:rPr>
        <w:t> </w:t>
      </w:r>
      <w:r>
        <w:rPr>
          <w:rFonts w:ascii="Arial" w:eastAsia="Arial"/>
        </w:rPr>
        <w:t>3</w:t>
      </w:r>
      <w:r>
        <w:rPr>
          <w:rFonts w:ascii="Arial" w:eastAsia="Arial"/>
          <w:spacing w:val="23"/>
        </w:rPr>
        <w:t> </w:t>
      </w:r>
      <w:r>
        <w:rPr/>
        <w:t>债权流动或转让方式</w:t>
        <w:tab/>
      </w:r>
      <w:r>
        <w:rPr>
          <w:rFonts w:ascii="Arial" w:eastAsia="Arial"/>
        </w:rPr>
        <w:t>4</w:t>
      </w:r>
      <w:r>
        <w:rPr>
          <w:rFonts w:ascii="Arial" w:eastAsia="Arial"/>
          <w:spacing w:val="3"/>
        </w:rPr>
        <w:t> </w:t>
      </w:r>
      <w:r>
        <w:rPr/>
        <w:t>合并方</w:t>
      </w:r>
    </w:p>
    <w:p>
      <w:pPr>
        <w:pStyle w:val="BodyText"/>
        <w:rPr>
          <w:sz w:val="30"/>
        </w:rPr>
      </w:pPr>
    </w:p>
    <w:p>
      <w:pPr>
        <w:pStyle w:val="BodyText"/>
        <w:spacing w:before="1"/>
        <w:rPr>
          <w:sz w:val="22"/>
        </w:rPr>
      </w:pPr>
    </w:p>
    <w:p>
      <w:pPr>
        <w:pStyle w:val="BodyText"/>
        <w:ind w:left="100"/>
      </w:pPr>
      <w:r>
        <w:rPr/>
        <w:t>式 </w:t>
      </w:r>
      <w:r>
        <w:rPr>
          <w:rFonts w:ascii="Arial" w:eastAsia="Arial"/>
        </w:rPr>
        <w:t>5 </w:t>
      </w:r>
      <w:r>
        <w:rPr/>
        <w:t>核销方式 </w:t>
      </w:r>
      <w:r>
        <w:rPr>
          <w:rFonts w:ascii="Arial" w:eastAsia="Arial"/>
        </w:rPr>
        <w:t>6 </w:t>
      </w:r>
      <w:r>
        <w:rPr/>
        <w:t>破产清算方式</w:t>
      </w:r>
    </w:p>
    <w:p>
      <w:pPr>
        <w:pStyle w:val="BodyText"/>
        <w:rPr>
          <w:sz w:val="30"/>
        </w:rPr>
      </w:pPr>
    </w:p>
    <w:p>
      <w:pPr>
        <w:pStyle w:val="BodyText"/>
        <w:spacing w:before="8"/>
        <w:rPr>
          <w:sz w:val="23"/>
        </w:rPr>
      </w:pPr>
    </w:p>
    <w:p>
      <w:pPr>
        <w:pStyle w:val="ListParagraph"/>
        <w:numPr>
          <w:ilvl w:val="0"/>
          <w:numId w:val="5"/>
        </w:numPr>
        <w:tabs>
          <w:tab w:pos="480" w:val="left" w:leader="none"/>
        </w:tabs>
        <w:spacing w:line="240" w:lineRule="auto" w:before="0" w:after="0"/>
        <w:ind w:left="480" w:right="0" w:hanging="380"/>
        <w:jc w:val="left"/>
        <w:rPr>
          <w:sz w:val="26"/>
        </w:rPr>
      </w:pPr>
      <w:r>
        <w:rPr>
          <w:sz w:val="26"/>
        </w:rPr>
        <w:t>简述基金管理公司控制投资风险的主要措施？</w:t>
      </w:r>
    </w:p>
    <w:p>
      <w:pPr>
        <w:pStyle w:val="BodyText"/>
        <w:rPr>
          <w:sz w:val="30"/>
        </w:rPr>
      </w:pPr>
    </w:p>
    <w:p>
      <w:pPr>
        <w:pStyle w:val="BodyText"/>
        <w:rPr>
          <w:sz w:val="22"/>
        </w:rPr>
      </w:pPr>
    </w:p>
    <w:p>
      <w:pPr>
        <w:pStyle w:val="BodyText"/>
        <w:ind w:left="100"/>
      </w:pPr>
      <w:r>
        <w:rPr/>
        <w:t>答：一是做好投资前的研究工作；二是采用证券组合和期货交易</w:t>
      </w:r>
    </w:p>
    <w:p>
      <w:pPr>
        <w:pStyle w:val="BodyText"/>
        <w:rPr>
          <w:sz w:val="30"/>
        </w:rPr>
      </w:pPr>
    </w:p>
    <w:p>
      <w:pPr>
        <w:pStyle w:val="BodyText"/>
        <w:spacing w:before="8"/>
        <w:rPr>
          <w:sz w:val="23"/>
        </w:rPr>
      </w:pPr>
    </w:p>
    <w:p>
      <w:pPr>
        <w:pStyle w:val="BodyText"/>
        <w:ind w:left="100"/>
      </w:pPr>
      <w:r>
        <w:rPr/>
        <w:t>的方式；三是确定合理的入市资金量；四是进行保护性止损。</w:t>
      </w:r>
    </w:p>
    <w:p>
      <w:pPr>
        <w:pStyle w:val="BodyText"/>
        <w:rPr>
          <w:sz w:val="30"/>
        </w:rPr>
      </w:pPr>
    </w:p>
    <w:p>
      <w:pPr>
        <w:pStyle w:val="ListParagraph"/>
        <w:numPr>
          <w:ilvl w:val="0"/>
          <w:numId w:val="5"/>
        </w:numPr>
        <w:tabs>
          <w:tab w:pos="480" w:val="left" w:leader="none"/>
        </w:tabs>
        <w:spacing w:line="240" w:lineRule="auto" w:before="263" w:after="0"/>
        <w:ind w:left="480" w:right="0" w:hanging="380"/>
        <w:jc w:val="left"/>
        <w:rPr>
          <w:sz w:val="26"/>
        </w:rPr>
      </w:pPr>
      <w:r>
        <w:rPr>
          <w:sz w:val="26"/>
        </w:rPr>
        <w:t>简述基金管理公司管理赎回与流动性风险的主要手段？</w:t>
      </w:r>
    </w:p>
    <w:p>
      <w:pPr>
        <w:pStyle w:val="BodyText"/>
        <w:rPr>
          <w:sz w:val="30"/>
        </w:rPr>
      </w:pPr>
    </w:p>
    <w:p>
      <w:pPr>
        <w:pStyle w:val="BodyText"/>
        <w:rPr>
          <w:sz w:val="22"/>
        </w:rPr>
      </w:pPr>
    </w:p>
    <w:p>
      <w:pPr>
        <w:pStyle w:val="BodyText"/>
        <w:ind w:left="100"/>
      </w:pPr>
      <w:r>
        <w:rPr/>
        <w:t>答：一是作好现金需求预测；二是进行资产配置选择；三是主动</w:t>
      </w:r>
    </w:p>
    <w:p>
      <w:pPr>
        <w:pStyle w:val="BodyText"/>
        <w:rPr>
          <w:sz w:val="30"/>
        </w:rPr>
      </w:pPr>
    </w:p>
    <w:p>
      <w:pPr>
        <w:pStyle w:val="BodyText"/>
        <w:spacing w:before="8"/>
        <w:rPr>
          <w:sz w:val="23"/>
        </w:rPr>
      </w:pPr>
    </w:p>
    <w:p>
      <w:pPr>
        <w:pStyle w:val="BodyText"/>
        <w:ind w:left="100"/>
      </w:pPr>
      <w:r>
        <w:rPr/>
        <w:t>负债。</w:t>
      </w:r>
    </w:p>
    <w:p>
      <w:pPr>
        <w:pStyle w:val="BodyText"/>
        <w:rPr>
          <w:sz w:val="30"/>
        </w:rPr>
      </w:pPr>
    </w:p>
    <w:p>
      <w:pPr>
        <w:pStyle w:val="BodyText"/>
        <w:spacing w:before="1"/>
        <w:rPr>
          <w:sz w:val="22"/>
        </w:rPr>
      </w:pPr>
    </w:p>
    <w:p>
      <w:pPr>
        <w:pStyle w:val="ListParagraph"/>
        <w:numPr>
          <w:ilvl w:val="0"/>
          <w:numId w:val="5"/>
        </w:numPr>
        <w:tabs>
          <w:tab w:pos="480" w:val="left" w:leader="none"/>
        </w:tabs>
        <w:spacing w:line="240" w:lineRule="auto" w:before="0" w:after="0"/>
        <w:ind w:left="480" w:right="0" w:hanging="380"/>
        <w:jc w:val="left"/>
        <w:rPr>
          <w:sz w:val="26"/>
        </w:rPr>
      </w:pPr>
      <w:r>
        <w:rPr>
          <w:sz w:val="26"/>
        </w:rPr>
        <w:t>信息不对称、逆向选择、道德风险的主要含义是什么？</w:t>
      </w:r>
    </w:p>
    <w:p>
      <w:pPr>
        <w:pStyle w:val="BodyText"/>
        <w:rPr>
          <w:sz w:val="30"/>
        </w:rPr>
      </w:pPr>
    </w:p>
    <w:p>
      <w:pPr>
        <w:pStyle w:val="BodyText"/>
        <w:spacing w:before="7"/>
        <w:rPr>
          <w:sz w:val="23"/>
        </w:rPr>
      </w:pPr>
    </w:p>
    <w:p>
      <w:pPr>
        <w:pStyle w:val="ListParagraph"/>
        <w:numPr>
          <w:ilvl w:val="1"/>
          <w:numId w:val="5"/>
        </w:numPr>
        <w:tabs>
          <w:tab w:pos="920" w:val="left" w:leader="none"/>
          <w:tab w:pos="4539" w:val="left" w:leader="none"/>
        </w:tabs>
        <w:spacing w:line="720" w:lineRule="auto" w:before="1" w:after="0"/>
        <w:ind w:left="100" w:right="419" w:firstLine="580"/>
        <w:jc w:val="left"/>
        <w:rPr>
          <w:sz w:val="26"/>
        </w:rPr>
      </w:pPr>
      <w:r>
        <w:rPr>
          <w:sz w:val="26"/>
        </w:rPr>
        <w:t>信息不对称，是指某些参与人拥有但另一些参与人不拥有  的信息。信息不对称的含义有两点：</w:t>
        <w:tab/>
      </w:r>
      <w:r>
        <w:rPr>
          <w:spacing w:val="10"/>
          <w:sz w:val="26"/>
        </w:rPr>
        <w:t>（</w:t>
      </w:r>
      <w:r>
        <w:rPr>
          <w:rFonts w:ascii="Arial" w:eastAsia="Arial"/>
          <w:spacing w:val="10"/>
          <w:sz w:val="26"/>
        </w:rPr>
        <w:t>1</w:t>
      </w:r>
      <w:r>
        <w:rPr>
          <w:rFonts w:ascii="Arial" w:eastAsia="Arial"/>
          <w:spacing w:val="-37"/>
          <w:sz w:val="26"/>
        </w:rPr>
        <w:t> </w:t>
      </w:r>
      <w:r>
        <w:rPr>
          <w:sz w:val="26"/>
        </w:rPr>
        <w:t>）有关交易的信息在交</w:t>
      </w:r>
      <w:r>
        <w:rPr>
          <w:spacing w:val="-18"/>
          <w:sz w:val="26"/>
        </w:rPr>
        <w:t>易</w:t>
      </w:r>
      <w:r>
        <w:rPr>
          <w:sz w:val="26"/>
        </w:rPr>
        <w:t>双方之间的分布是不对称的；</w:t>
      </w:r>
      <w:r>
        <w:rPr>
          <w:spacing w:val="70"/>
          <w:sz w:val="26"/>
        </w:rPr>
        <w:t> </w:t>
      </w:r>
      <w:r>
        <w:rPr>
          <w:spacing w:val="10"/>
          <w:sz w:val="26"/>
        </w:rPr>
        <w:t>（</w:t>
      </w:r>
      <w:r>
        <w:rPr>
          <w:rFonts w:ascii="Arial" w:eastAsia="Arial"/>
          <w:spacing w:val="10"/>
          <w:sz w:val="26"/>
        </w:rPr>
        <w:t>2</w:t>
      </w:r>
      <w:r>
        <w:rPr>
          <w:rFonts w:ascii="Arial" w:eastAsia="Arial"/>
          <w:spacing w:val="-37"/>
          <w:sz w:val="26"/>
        </w:rPr>
        <w:t> </w:t>
      </w:r>
      <w:r>
        <w:rPr>
          <w:sz w:val="26"/>
        </w:rPr>
        <w:t>）处于信息劣势的一方缺乏相关信息，但可以知道相关信息的概率分布。</w:t>
      </w:r>
    </w:p>
    <w:p>
      <w:pPr>
        <w:pStyle w:val="BodyText"/>
        <w:spacing w:before="2"/>
        <w:ind w:left="99" w:right="358"/>
        <w:jc w:val="center"/>
      </w:pPr>
      <w:r>
        <w:rPr/>
        <w:t>金融机构的脆弱性决定于储蓄者、金融机构和借款人的信</w:t>
      </w:r>
    </w:p>
    <w:p>
      <w:pPr>
        <w:pStyle w:val="BodyText"/>
        <w:rPr>
          <w:sz w:val="30"/>
        </w:rPr>
      </w:pPr>
    </w:p>
    <w:p>
      <w:pPr>
        <w:pStyle w:val="BodyText"/>
        <w:spacing w:before="8"/>
        <w:rPr>
          <w:sz w:val="23"/>
        </w:rPr>
      </w:pPr>
    </w:p>
    <w:p>
      <w:pPr>
        <w:pStyle w:val="BodyText"/>
        <w:spacing w:line="705" w:lineRule="auto"/>
        <w:ind w:left="100" w:right="799"/>
      </w:pPr>
      <w:r>
        <w:rPr>
          <w:spacing w:val="-6"/>
        </w:rPr>
        <w:t>息不对称。 相对于贷款人和借款人对贷款投资项目的风险拥有更</w:t>
      </w:r>
      <w:r>
        <w:rPr/>
        <w:t>多的信息，最终债券人（储蓄者）对贷款用途缺乏了解，由此产</w:t>
      </w:r>
    </w:p>
    <w:p>
      <w:pPr>
        <w:pStyle w:val="BodyText"/>
        <w:spacing w:before="21"/>
        <w:ind w:left="99" w:right="378"/>
        <w:jc w:val="center"/>
      </w:pPr>
      <w:r>
        <w:rPr/>
        <w:t>生了信贷市场上的“逆向选择”和“道德风险</w:t>
      </w:r>
      <w:r>
        <w:rPr>
          <w:spacing w:val="-27"/>
        </w:rPr>
        <w:t>”。以商业银行为代表的</w:t>
      </w:r>
    </w:p>
    <w:p>
      <w:pPr>
        <w:pStyle w:val="BodyText"/>
        <w:rPr>
          <w:sz w:val="30"/>
        </w:rPr>
      </w:pPr>
    </w:p>
    <w:p>
      <w:pPr>
        <w:pStyle w:val="BodyText"/>
        <w:spacing w:before="8"/>
        <w:rPr>
          <w:sz w:val="23"/>
        </w:rPr>
      </w:pPr>
    </w:p>
    <w:p>
      <w:pPr>
        <w:pStyle w:val="BodyText"/>
        <w:spacing w:line="720" w:lineRule="auto"/>
        <w:ind w:left="100" w:right="899"/>
      </w:pPr>
      <w:r>
        <w:rPr/>
        <w:t>金融中介机构要发挥有效功能，需要满足两个条件：一是储户对金融机构充满信心，而不同时提款，保证金融机构将对零散储户</w:t>
      </w:r>
    </w:p>
    <w:p>
      <w:pPr>
        <w:pStyle w:val="BodyText"/>
        <w:spacing w:line="720" w:lineRule="auto" w:before="21"/>
        <w:ind w:left="100" w:right="899"/>
      </w:pPr>
      <w:r>
        <w:rPr/>
        <w:t>的流动性负债转化为对借款人的非流动性债权，并获得利润；二是金融机构对借款的筛选和监督是高效的，并且是低成本的。</w:t>
      </w:r>
    </w:p>
    <w:p>
      <w:pPr>
        <w:spacing w:after="0" w:line="720" w:lineRule="auto"/>
        <w:sectPr>
          <w:pgSz w:w="19120" w:h="27060"/>
          <w:pgMar w:header="1396" w:footer="1580" w:top="1920" w:bottom="1780" w:left="1040" w:right="1060"/>
          <w:cols w:num="2" w:equalWidth="0">
            <w:col w:w="8081" w:space="659"/>
            <w:col w:w="8280"/>
          </w:cols>
        </w:sectPr>
      </w:pPr>
    </w:p>
    <w:p>
      <w:pPr>
        <w:pStyle w:val="ListParagraph"/>
        <w:numPr>
          <w:ilvl w:val="1"/>
          <w:numId w:val="5"/>
        </w:numPr>
        <w:tabs>
          <w:tab w:pos="1040" w:val="left" w:leader="none"/>
        </w:tabs>
        <w:spacing w:line="240" w:lineRule="auto" w:before="65" w:after="0"/>
        <w:ind w:left="1040" w:right="0" w:hanging="260"/>
        <w:jc w:val="left"/>
        <w:rPr>
          <w:sz w:val="26"/>
        </w:rPr>
      </w:pPr>
      <w:r>
        <w:rPr>
          <w:sz w:val="26"/>
        </w:rPr>
        <w:t>逆向选择。“逆向选择”理论在贷款市场上的表现为，由于</w:t>
      </w:r>
    </w:p>
    <w:p>
      <w:pPr>
        <w:pStyle w:val="BodyText"/>
        <w:rPr>
          <w:sz w:val="30"/>
        </w:rPr>
      </w:pPr>
    </w:p>
    <w:p>
      <w:pPr>
        <w:pStyle w:val="BodyText"/>
        <w:spacing w:before="8"/>
        <w:rPr>
          <w:sz w:val="23"/>
        </w:rPr>
      </w:pPr>
    </w:p>
    <w:p>
      <w:pPr>
        <w:pStyle w:val="BodyText"/>
        <w:tabs>
          <w:tab w:pos="3219" w:val="left" w:leader="none"/>
          <w:tab w:pos="4099" w:val="left" w:leader="none"/>
          <w:tab w:pos="5259" w:val="left" w:leader="none"/>
        </w:tabs>
        <w:spacing w:line="720" w:lineRule="auto"/>
        <w:ind w:left="100" w:right="239"/>
      </w:pPr>
      <w:r>
        <w:rPr/>
        <w:t>借贷双方的信息不对称，</w:t>
        <w:tab/>
        <w:t>作为贷款银行只能根据投资项目的平均风险水平决定贷款利率，这样那些风险低于平均水平的项目，由  于借款成本过高就会退出市场，</w:t>
        <w:tab/>
        <w:t>剩下来的愿意支付较高成本的项目一般是风险水平高于平均水平的项目，</w:t>
        <w:tab/>
        <w:t>最终的结果是银行贷</w:t>
      </w:r>
      <w:r>
        <w:rPr>
          <w:spacing w:val="-18"/>
        </w:rPr>
        <w:t>款</w:t>
      </w:r>
      <w:r>
        <w:rPr/>
        <w:t>的平均风险水平提高，收益降低，呆账增加。</w:t>
      </w:r>
    </w:p>
    <w:p>
      <w:pPr>
        <w:pStyle w:val="ListParagraph"/>
        <w:numPr>
          <w:ilvl w:val="1"/>
          <w:numId w:val="5"/>
        </w:numPr>
        <w:tabs>
          <w:tab w:pos="1000" w:val="left" w:leader="none"/>
          <w:tab w:pos="4679" w:val="left" w:leader="none"/>
          <w:tab w:pos="6419" w:val="left" w:leader="none"/>
        </w:tabs>
        <w:spacing w:line="712" w:lineRule="auto" w:before="23" w:after="0"/>
        <w:ind w:left="100" w:right="119" w:firstLine="680"/>
        <w:jc w:val="left"/>
        <w:rPr>
          <w:sz w:val="26"/>
        </w:rPr>
      </w:pPr>
      <w:r>
        <w:rPr>
          <w:sz w:val="26"/>
        </w:rPr>
        <w:t>道德风险。</w:t>
      </w:r>
      <w:r>
        <w:rPr>
          <w:spacing w:val="-10"/>
          <w:sz w:val="26"/>
        </w:rPr>
        <w:t> </w:t>
      </w:r>
      <w:r>
        <w:rPr>
          <w:sz w:val="26"/>
        </w:rPr>
        <w:t>道德风险，</w:t>
      </w:r>
      <w:r>
        <w:rPr>
          <w:spacing w:val="-10"/>
          <w:sz w:val="26"/>
        </w:rPr>
        <w:t> </w:t>
      </w:r>
      <w:r>
        <w:rPr>
          <w:sz w:val="26"/>
        </w:rPr>
        <w:t>是指在达成契约后，</w:t>
        <w:tab/>
        <w:t>也就是在合</w:t>
      </w:r>
      <w:r>
        <w:rPr>
          <w:spacing w:val="-18"/>
          <w:sz w:val="26"/>
        </w:rPr>
        <w:t>同</w:t>
      </w:r>
      <w:r>
        <w:rPr>
          <w:sz w:val="26"/>
        </w:rPr>
        <w:t>实施中由于一方缺乏另一方的信息，</w:t>
        <w:tab/>
        <w:t>这是拥有信息方就可能会利用信息优势，从事使自己利益最大化而损害另一方利益的行为。</w:t>
      </w:r>
    </w:p>
    <w:p>
      <w:pPr>
        <w:pStyle w:val="BodyText"/>
        <w:tabs>
          <w:tab w:pos="3179" w:val="left" w:leader="none"/>
        </w:tabs>
        <w:spacing w:line="720" w:lineRule="auto" w:before="32"/>
        <w:ind w:left="100" w:right="99"/>
      </w:pPr>
      <w:r>
        <w:rPr/>
        <w:t>从银企的债务关系来看，</w:t>
        <w:tab/>
        <w:t>金融自由化以后，</w:t>
      </w:r>
      <w:r>
        <w:rPr>
          <w:spacing w:val="10"/>
        </w:rPr>
        <w:t> </w:t>
      </w:r>
      <w:r>
        <w:rPr/>
        <w:t>银行之间的竞争加剧</w:t>
      </w:r>
      <w:r>
        <w:rPr>
          <w:spacing w:val="-18"/>
        </w:rPr>
        <w:t>， </w:t>
      </w:r>
      <w:r>
        <w:rPr/>
        <w:t>各商业银行为了争取客户，会降低对贷款项目的风险审查。企业</w:t>
      </w:r>
    </w:p>
    <w:p>
      <w:pPr>
        <w:pStyle w:val="BodyText"/>
        <w:spacing w:before="21"/>
        <w:ind w:left="100"/>
      </w:pPr>
      <w:r>
        <w:rPr/>
        <w:t>可能会利用对项目的信息优势，利用银行监管困难的事实，改变</w:t>
      </w:r>
    </w:p>
    <w:p>
      <w:pPr>
        <w:pStyle w:val="BodyText"/>
        <w:rPr>
          <w:sz w:val="30"/>
        </w:rPr>
      </w:pPr>
    </w:p>
    <w:p>
      <w:pPr>
        <w:pStyle w:val="BodyText"/>
        <w:tabs>
          <w:tab w:pos="3759" w:val="left" w:leader="none"/>
        </w:tabs>
        <w:spacing w:line="720" w:lineRule="auto" w:before="263"/>
        <w:ind w:left="100" w:right="159"/>
      </w:pPr>
      <w:r>
        <w:rPr/>
        <w:t>贷款用途或做假账转移利润，</w:t>
        <w:tab/>
        <w:t>用破产</w:t>
      </w:r>
      <w:r>
        <w:rPr>
          <w:spacing w:val="20"/>
        </w:rPr>
        <w:t>、</w:t>
      </w:r>
      <w:r>
        <w:rPr/>
        <w:t>合资等方式逃废银行债务</w:t>
      </w:r>
      <w:r>
        <w:rPr>
          <w:spacing w:val="-18"/>
        </w:rPr>
        <w:t>。</w:t>
      </w:r>
      <w:r>
        <w:rPr/>
        <w:t>在金融自由化持续一段时间以后，银行的不良资产呈上升趋势。</w:t>
      </w:r>
    </w:p>
    <w:p>
      <w:pPr>
        <w:pStyle w:val="BodyText"/>
        <w:spacing w:before="21"/>
        <w:ind w:left="680"/>
      </w:pPr>
      <w:r>
        <w:rPr/>
        <w:t>流动性风险的含义及产生的主要原因？</w:t>
      </w:r>
    </w:p>
    <w:p>
      <w:pPr>
        <w:pStyle w:val="BodyText"/>
        <w:rPr>
          <w:sz w:val="30"/>
        </w:rPr>
      </w:pPr>
    </w:p>
    <w:p>
      <w:pPr>
        <w:pStyle w:val="BodyText"/>
        <w:rPr>
          <w:sz w:val="22"/>
        </w:rPr>
      </w:pPr>
    </w:p>
    <w:p>
      <w:pPr>
        <w:pStyle w:val="BodyText"/>
        <w:ind w:left="680"/>
      </w:pPr>
      <w:r>
        <w:rPr/>
        <w:t>流动性风险， 是指无法在不增加成本或资产价值不发生损失</w:t>
      </w:r>
    </w:p>
    <w:p>
      <w:pPr>
        <w:pStyle w:val="BodyText"/>
        <w:rPr>
          <w:sz w:val="30"/>
        </w:rPr>
      </w:pPr>
    </w:p>
    <w:p>
      <w:pPr>
        <w:pStyle w:val="BodyText"/>
        <w:spacing w:before="8"/>
        <w:rPr>
          <w:sz w:val="23"/>
        </w:rPr>
      </w:pPr>
    </w:p>
    <w:p>
      <w:pPr>
        <w:pStyle w:val="BodyText"/>
        <w:ind w:left="100"/>
      </w:pPr>
      <w:r>
        <w:rPr/>
        <w:t>的条件下及时满足客户流动性需求的可能性。</w:t>
      </w:r>
    </w:p>
    <w:p>
      <w:pPr>
        <w:pStyle w:val="BodyText"/>
        <w:rPr>
          <w:sz w:val="30"/>
        </w:rPr>
      </w:pPr>
    </w:p>
    <w:p>
      <w:pPr>
        <w:pStyle w:val="BodyText"/>
        <w:tabs>
          <w:tab w:pos="6139" w:val="left" w:leader="none"/>
        </w:tabs>
        <w:spacing w:line="720" w:lineRule="auto" w:before="263"/>
        <w:ind w:left="100" w:right="38" w:firstLine="580"/>
      </w:pPr>
      <w:r>
        <w:rPr/>
        <w:t>成因</w:t>
      </w:r>
      <w:r>
        <w:rPr>
          <w:spacing w:val="-40"/>
        </w:rPr>
        <w:t>：（</w:t>
      </w:r>
      <w:r>
        <w:rPr/>
        <w:t>一）资产与负债的期限结构不匹配。</w:t>
        <w:tab/>
        <w:t>（二）资产负债质量结构不合理。</w:t>
      </w:r>
      <w:r>
        <w:rPr>
          <w:spacing w:val="-10"/>
        </w:rPr>
        <w:t> </w:t>
      </w:r>
      <w:r>
        <w:rPr/>
        <w:t>（三）经营管理不善。</w:t>
      </w:r>
      <w:r>
        <w:rPr>
          <w:spacing w:val="50"/>
        </w:rPr>
        <w:t> </w:t>
      </w:r>
      <w:r>
        <w:rPr/>
        <w:t>（四）利率变动。</w:t>
      </w:r>
      <w:r>
        <w:rPr>
          <w:spacing w:val="-10"/>
        </w:rPr>
        <w:t> </w:t>
      </w:r>
      <w:r>
        <w:rPr/>
        <w:t>（五</w:t>
      </w:r>
      <w:r>
        <w:rPr>
          <w:spacing w:val="-18"/>
        </w:rPr>
        <w:t>）</w:t>
      </w:r>
    </w:p>
    <w:p>
      <w:pPr>
        <w:pStyle w:val="BodyText"/>
        <w:tabs>
          <w:tab w:pos="3719" w:val="left" w:leader="none"/>
        </w:tabs>
        <w:spacing w:before="21"/>
        <w:ind w:left="100"/>
      </w:pPr>
      <w:r>
        <w:rPr/>
        <w:t>货币政策和金融市场的原因。</w:t>
        <w:tab/>
        <w:t>（六）信用风险。</w:t>
      </w:r>
    </w:p>
    <w:p>
      <w:pPr>
        <w:pStyle w:val="BodyText"/>
        <w:rPr>
          <w:sz w:val="30"/>
        </w:rPr>
      </w:pPr>
    </w:p>
    <w:p>
      <w:pPr>
        <w:pStyle w:val="BodyText"/>
        <w:rPr>
          <w:sz w:val="22"/>
        </w:rPr>
      </w:pPr>
    </w:p>
    <w:p>
      <w:pPr>
        <w:pStyle w:val="BodyText"/>
        <w:spacing w:before="1"/>
        <w:ind w:left="680"/>
      </w:pPr>
      <w:r>
        <w:rPr/>
        <w:t>何为利率敏感性资产和利率敏感性负债？在两者彼此大小</w:t>
      </w:r>
    </w:p>
    <w:p>
      <w:pPr>
        <w:pStyle w:val="BodyText"/>
        <w:rPr>
          <w:sz w:val="30"/>
        </w:rPr>
      </w:pPr>
    </w:p>
    <w:p>
      <w:pPr>
        <w:pStyle w:val="BodyText"/>
        <w:spacing w:before="7"/>
        <w:rPr>
          <w:sz w:val="23"/>
        </w:rPr>
      </w:pPr>
    </w:p>
    <w:p>
      <w:pPr>
        <w:pStyle w:val="BodyText"/>
        <w:tabs>
          <w:tab w:pos="6879" w:val="left" w:leader="none"/>
        </w:tabs>
        <w:ind w:left="100"/>
        <w:rPr>
          <w:rFonts w:ascii="Arial" w:eastAsia="Arial"/>
        </w:rPr>
      </w:pPr>
      <w:r>
        <w:rPr/>
        <w:t>不同的情况下，利率变动对银行利润有什么影响？（</w:t>
        <w:tab/>
      </w:r>
      <w:r>
        <w:rPr>
          <w:rFonts w:ascii="Arial" w:eastAsia="Arial"/>
        </w:rPr>
        <w:t>P121-122</w:t>
      </w:r>
    </w:p>
    <w:p>
      <w:pPr>
        <w:pStyle w:val="BodyText"/>
        <w:rPr>
          <w:rFonts w:ascii="Arial"/>
          <w:sz w:val="30"/>
        </w:rPr>
      </w:pPr>
    </w:p>
    <w:p>
      <w:pPr>
        <w:pStyle w:val="BodyText"/>
        <w:rPr>
          <w:rFonts w:ascii="Arial"/>
          <w:sz w:val="28"/>
        </w:rPr>
      </w:pPr>
    </w:p>
    <w:p>
      <w:pPr>
        <w:pStyle w:val="BodyText"/>
        <w:ind w:left="100"/>
      </w:pPr>
      <w:r>
        <w:rPr/>
        <w:t>页）</w:t>
      </w:r>
    </w:p>
    <w:p>
      <w:pPr>
        <w:pStyle w:val="BodyText"/>
        <w:spacing w:before="65"/>
        <w:ind w:left="680"/>
      </w:pPr>
      <w:r>
        <w:rPr/>
        <w:br w:type="column"/>
      </w:r>
      <w:r>
        <w:rPr/>
        <w:t>利率敏感型资产和利率敏感型负债就是指资产的收益或负</w:t>
      </w:r>
    </w:p>
    <w:p>
      <w:pPr>
        <w:pStyle w:val="BodyText"/>
        <w:rPr>
          <w:sz w:val="30"/>
        </w:rPr>
      </w:pPr>
    </w:p>
    <w:p>
      <w:pPr>
        <w:pStyle w:val="BodyText"/>
        <w:spacing w:before="8"/>
        <w:rPr>
          <w:sz w:val="23"/>
        </w:rPr>
      </w:pPr>
    </w:p>
    <w:p>
      <w:pPr>
        <w:pStyle w:val="BodyText"/>
        <w:ind w:left="100"/>
      </w:pPr>
      <w:r>
        <w:rPr/>
        <w:t>债的成本受利率波动影响较大的资产或负债。</w:t>
      </w:r>
    </w:p>
    <w:p>
      <w:pPr>
        <w:pStyle w:val="BodyText"/>
        <w:rPr>
          <w:sz w:val="30"/>
        </w:rPr>
      </w:pPr>
    </w:p>
    <w:p>
      <w:pPr>
        <w:pStyle w:val="BodyText"/>
        <w:tabs>
          <w:tab w:pos="7019" w:val="left" w:leader="none"/>
        </w:tabs>
        <w:spacing w:line="720" w:lineRule="auto" w:before="262"/>
        <w:ind w:left="100" w:right="219" w:firstLine="580"/>
      </w:pPr>
      <w:r>
        <w:rPr/>
        <w:t>当银行的利率敏感型资产大于利率敏感型负债时，</w:t>
        <w:tab/>
        <w:t>市场利</w:t>
      </w:r>
      <w:r>
        <w:rPr>
          <w:spacing w:val="-18"/>
        </w:rPr>
        <w:t>率</w:t>
      </w:r>
      <w:r>
        <w:rPr/>
        <w:t>的上升会增加银行的利润；反之，市场利率的下降则会减少银行</w:t>
      </w:r>
    </w:p>
    <w:p>
      <w:pPr>
        <w:pStyle w:val="BodyText"/>
        <w:spacing w:before="22"/>
        <w:ind w:left="100"/>
      </w:pPr>
      <w:r>
        <w:rPr/>
        <w:t>的利润。</w:t>
      </w:r>
    </w:p>
    <w:p>
      <w:pPr>
        <w:pStyle w:val="BodyText"/>
        <w:rPr>
          <w:sz w:val="30"/>
        </w:rPr>
      </w:pPr>
    </w:p>
    <w:p>
      <w:pPr>
        <w:pStyle w:val="BodyText"/>
        <w:rPr>
          <w:sz w:val="22"/>
        </w:rPr>
      </w:pPr>
    </w:p>
    <w:p>
      <w:pPr>
        <w:pStyle w:val="BodyText"/>
        <w:tabs>
          <w:tab w:pos="6399" w:val="left" w:leader="none"/>
        </w:tabs>
        <w:ind w:left="100"/>
      </w:pPr>
      <w:r>
        <w:rPr/>
        <w:t>当银行的利率敏感型资产小于利率敏感型负债时，</w:t>
        <w:tab/>
        <w:t>利率的上升会</w:t>
      </w:r>
    </w:p>
    <w:p>
      <w:pPr>
        <w:pStyle w:val="BodyText"/>
        <w:rPr>
          <w:sz w:val="30"/>
        </w:rPr>
      </w:pPr>
    </w:p>
    <w:p>
      <w:pPr>
        <w:pStyle w:val="BodyText"/>
        <w:spacing w:before="8"/>
        <w:rPr>
          <w:sz w:val="23"/>
        </w:rPr>
      </w:pPr>
    </w:p>
    <w:p>
      <w:pPr>
        <w:pStyle w:val="BodyText"/>
        <w:tabs>
          <w:tab w:pos="5259" w:val="left" w:leader="none"/>
        </w:tabs>
        <w:spacing w:line="720" w:lineRule="auto"/>
        <w:ind w:left="340" w:right="519" w:hanging="240"/>
      </w:pPr>
      <w:r>
        <w:rPr/>
        <w:t>减少银行的利润；</w:t>
      </w:r>
      <w:r>
        <w:rPr>
          <w:spacing w:val="10"/>
        </w:rPr>
        <w:t> </w:t>
      </w:r>
      <w:r>
        <w:rPr/>
        <w:t>反之</w:t>
      </w:r>
      <w:r>
        <w:rPr>
          <w:spacing w:val="-20"/>
        </w:rPr>
        <w:t>，</w:t>
      </w:r>
      <w:r>
        <w:rPr/>
        <w:t>利率的下降则会相对地增加银行的利润</w:t>
      </w:r>
      <w:r>
        <w:rPr>
          <w:spacing w:val="-19"/>
        </w:rPr>
        <w:t>。</w:t>
      </w:r>
      <w:r>
        <w:rPr/>
        <w:t>何为外汇风险？何为外汇敞口头寸？（</w:t>
        <w:tab/>
      </w:r>
      <w:r>
        <w:rPr>
          <w:rFonts w:ascii="Arial" w:eastAsia="Arial"/>
        </w:rPr>
        <w:t>P144</w:t>
      </w:r>
      <w:r>
        <w:rPr>
          <w:rFonts w:ascii="Arial" w:eastAsia="Arial"/>
          <w:spacing w:val="60"/>
        </w:rPr>
        <w:t> </w:t>
      </w:r>
      <w:r>
        <w:rPr/>
        <w:t>页）</w:t>
      </w:r>
    </w:p>
    <w:p>
      <w:pPr>
        <w:pStyle w:val="BodyText"/>
        <w:spacing w:line="314" w:lineRule="exact"/>
        <w:ind w:left="680"/>
      </w:pPr>
      <w:r>
        <w:rPr/>
        <w:t>外汇风险又称汇率风险，是指经济主体在持有或运用外汇</w:t>
      </w:r>
    </w:p>
    <w:p>
      <w:pPr>
        <w:pStyle w:val="BodyText"/>
        <w:rPr>
          <w:sz w:val="30"/>
        </w:rPr>
      </w:pPr>
    </w:p>
    <w:p>
      <w:pPr>
        <w:pStyle w:val="BodyText"/>
        <w:spacing w:before="8"/>
        <w:rPr>
          <w:sz w:val="23"/>
        </w:rPr>
      </w:pPr>
    </w:p>
    <w:p>
      <w:pPr>
        <w:pStyle w:val="BodyText"/>
        <w:ind w:left="100"/>
      </w:pPr>
      <w:r>
        <w:rPr/>
        <w:t>时，因汇率变动而蒙受经济损失的可能性。</w:t>
      </w:r>
    </w:p>
    <w:p>
      <w:pPr>
        <w:pStyle w:val="BodyText"/>
        <w:rPr>
          <w:sz w:val="30"/>
        </w:rPr>
      </w:pPr>
    </w:p>
    <w:p>
      <w:pPr>
        <w:pStyle w:val="BodyText"/>
        <w:rPr>
          <w:sz w:val="22"/>
        </w:rPr>
      </w:pPr>
    </w:p>
    <w:p>
      <w:pPr>
        <w:pStyle w:val="BodyText"/>
        <w:spacing w:before="1"/>
        <w:ind w:left="680"/>
      </w:pPr>
      <w:r>
        <w:rPr/>
        <w:t>外汇敞口头寸包括： （</w:t>
      </w:r>
      <w:r>
        <w:rPr>
          <w:rFonts w:ascii="Arial" w:eastAsia="Arial"/>
        </w:rPr>
        <w:t>1 </w:t>
      </w:r>
      <w:r>
        <w:rPr/>
        <w:t>）在外汇交易中，风险头寸表现为外</w:t>
      </w:r>
    </w:p>
    <w:p>
      <w:pPr>
        <w:pStyle w:val="BodyText"/>
        <w:rPr>
          <w:sz w:val="30"/>
        </w:rPr>
      </w:pPr>
    </w:p>
    <w:p>
      <w:pPr>
        <w:pStyle w:val="BodyText"/>
        <w:spacing w:before="7"/>
        <w:rPr>
          <w:sz w:val="23"/>
        </w:rPr>
      </w:pPr>
    </w:p>
    <w:p>
      <w:pPr>
        <w:pStyle w:val="BodyText"/>
        <w:spacing w:line="712" w:lineRule="auto"/>
        <w:ind w:left="100" w:right="319"/>
        <w:jc w:val="both"/>
      </w:pPr>
      <w:r>
        <w:rPr/>
        <w:t>汇超买（即多头）或超卖（空头）部分。 （</w:t>
      </w:r>
      <w:r>
        <w:rPr>
          <w:rFonts w:ascii="Arial" w:eastAsia="Arial"/>
        </w:rPr>
        <w:t>2 </w:t>
      </w:r>
      <w:r>
        <w:rPr/>
        <w:t>）在企业经营中，风险头寸表现为外币资产与负债不相匹配的部分，   如外币资产大于或小于负债，或者外币资产与负债在数量上相等，但期限不一致</w:t>
      </w:r>
    </w:p>
    <w:p>
      <w:pPr>
        <w:pStyle w:val="BodyText"/>
        <w:spacing w:before="32"/>
        <w:ind w:left="100"/>
      </w:pPr>
      <w:r>
        <w:rPr/>
        <w:t>等。</w:t>
      </w:r>
    </w:p>
    <w:p>
      <w:pPr>
        <w:pStyle w:val="BodyText"/>
        <w:rPr>
          <w:sz w:val="30"/>
        </w:rPr>
      </w:pPr>
    </w:p>
    <w:p>
      <w:pPr>
        <w:pStyle w:val="BodyText"/>
        <w:spacing w:before="1"/>
        <w:rPr>
          <w:sz w:val="22"/>
        </w:rPr>
      </w:pPr>
    </w:p>
    <w:p>
      <w:pPr>
        <w:pStyle w:val="BodyText"/>
        <w:ind w:left="100"/>
      </w:pPr>
      <w:r>
        <w:rPr/>
        <w:t>保险公司保险业务风险的含义是什么？它主要包括哪几类风</w:t>
      </w:r>
    </w:p>
    <w:p>
      <w:pPr>
        <w:pStyle w:val="BodyText"/>
        <w:rPr>
          <w:sz w:val="30"/>
        </w:rPr>
      </w:pPr>
    </w:p>
    <w:p>
      <w:pPr>
        <w:pStyle w:val="BodyText"/>
        <w:spacing w:before="7"/>
        <w:rPr>
          <w:sz w:val="23"/>
        </w:rPr>
      </w:pPr>
    </w:p>
    <w:p>
      <w:pPr>
        <w:pStyle w:val="BodyText"/>
        <w:spacing w:before="1"/>
        <w:ind w:left="100"/>
      </w:pPr>
      <w:r>
        <w:rPr/>
        <w:t>险？其各自的表现形式是怎样的？</w:t>
      </w:r>
    </w:p>
    <w:p>
      <w:pPr>
        <w:pStyle w:val="BodyText"/>
        <w:rPr>
          <w:sz w:val="30"/>
        </w:rPr>
      </w:pPr>
    </w:p>
    <w:p>
      <w:pPr>
        <w:pStyle w:val="BodyText"/>
        <w:tabs>
          <w:tab w:pos="4399" w:val="left" w:leader="none"/>
          <w:tab w:pos="5819" w:val="left" w:leader="none"/>
        </w:tabs>
        <w:spacing w:line="720" w:lineRule="auto" w:before="262"/>
        <w:ind w:left="100" w:right="379" w:firstLine="580"/>
      </w:pPr>
      <w:r>
        <w:rPr/>
        <w:t>保险业务风险是保险公司在经营过程中，</w:t>
        <w:tab/>
        <w:t>业务经营预定目</w:t>
      </w:r>
      <w:r>
        <w:rPr>
          <w:spacing w:val="-18"/>
        </w:rPr>
        <w:t>标</w:t>
      </w:r>
      <w:r>
        <w:rPr/>
        <w:t>与实际运营结果之间的可能偏差，</w:t>
        <w:tab/>
        <w:t>即造成的可能经济损失或不确</w:t>
      </w:r>
    </w:p>
    <w:p>
      <w:pPr>
        <w:pStyle w:val="BodyText"/>
        <w:spacing w:before="21"/>
        <w:ind w:left="100"/>
      </w:pPr>
      <w:r>
        <w:rPr/>
        <w:t>定性。</w:t>
      </w:r>
    </w:p>
    <w:p>
      <w:pPr>
        <w:pStyle w:val="BodyText"/>
        <w:rPr>
          <w:sz w:val="30"/>
        </w:rPr>
      </w:pPr>
    </w:p>
    <w:p>
      <w:pPr>
        <w:pStyle w:val="BodyText"/>
        <w:spacing w:before="1"/>
        <w:rPr>
          <w:sz w:val="22"/>
        </w:rPr>
      </w:pPr>
    </w:p>
    <w:p>
      <w:pPr>
        <w:pStyle w:val="BodyText"/>
        <w:tabs>
          <w:tab w:pos="6979" w:val="left" w:leader="none"/>
        </w:tabs>
        <w:ind w:left="680"/>
      </w:pPr>
      <w:r>
        <w:rPr/>
        <w:t>保险公司保险业务的风险主要包括保险产品风险、</w:t>
        <w:tab/>
        <w:t>承保风险</w:t>
      </w:r>
    </w:p>
    <w:p>
      <w:pPr>
        <w:pStyle w:val="BodyText"/>
        <w:rPr>
          <w:sz w:val="30"/>
        </w:rPr>
      </w:pPr>
    </w:p>
    <w:p>
      <w:pPr>
        <w:pStyle w:val="BodyText"/>
        <w:spacing w:before="8"/>
        <w:rPr>
          <w:sz w:val="23"/>
        </w:rPr>
      </w:pPr>
    </w:p>
    <w:p>
      <w:pPr>
        <w:pStyle w:val="BodyText"/>
        <w:ind w:left="100"/>
      </w:pPr>
      <w:r>
        <w:rPr/>
        <w:t>和理赔风险。</w:t>
      </w:r>
    </w:p>
    <w:p>
      <w:pPr>
        <w:pStyle w:val="BodyText"/>
        <w:rPr>
          <w:sz w:val="30"/>
        </w:rPr>
      </w:pPr>
    </w:p>
    <w:p>
      <w:pPr>
        <w:pStyle w:val="BodyText"/>
        <w:rPr>
          <w:sz w:val="22"/>
        </w:rPr>
      </w:pPr>
    </w:p>
    <w:p>
      <w:pPr>
        <w:pStyle w:val="BodyText"/>
        <w:tabs>
          <w:tab w:pos="5599" w:val="left" w:leader="none"/>
        </w:tabs>
        <w:ind w:left="680"/>
      </w:pPr>
      <w:r>
        <w:rPr/>
        <w:t>保险产品的风险主要表现在两个方面：</w:t>
        <w:tab/>
      </w:r>
      <w:r>
        <w:rPr>
          <w:rFonts w:ascii="Arial" w:eastAsia="Arial"/>
        </w:rPr>
        <w:t>(1</w:t>
      </w:r>
      <w:r>
        <w:rPr>
          <w:rFonts w:ascii="Arial" w:eastAsia="Arial"/>
          <w:spacing w:val="-44"/>
        </w:rPr>
        <w:t> </w:t>
      </w:r>
      <w:r>
        <w:rPr/>
        <w:t>）保险产品具有较</w:t>
      </w:r>
    </w:p>
    <w:p>
      <w:pPr>
        <w:spacing w:after="0"/>
        <w:sectPr>
          <w:pgSz w:w="19120" w:h="27060"/>
          <w:pgMar w:header="1396" w:footer="1580" w:top="1920" w:bottom="1780" w:left="1040" w:right="1060"/>
          <w:cols w:num="2" w:equalWidth="0">
            <w:col w:w="8101" w:space="639"/>
            <w:col w:w="8280"/>
          </w:cols>
        </w:sectPr>
      </w:pPr>
    </w:p>
    <w:p>
      <w:pPr>
        <w:pStyle w:val="BodyText"/>
        <w:spacing w:before="65"/>
        <w:ind w:left="100"/>
      </w:pPr>
      <w:r>
        <w:rPr/>
        <w:t>好的市场适应性， 但价格较低， 无法满足保险人正常经营的需要；</w:t>
      </w:r>
    </w:p>
    <w:p>
      <w:pPr>
        <w:pStyle w:val="BodyText"/>
        <w:rPr>
          <w:sz w:val="30"/>
        </w:rPr>
      </w:pPr>
    </w:p>
    <w:p>
      <w:pPr>
        <w:pStyle w:val="BodyText"/>
        <w:spacing w:before="8"/>
        <w:rPr>
          <w:sz w:val="23"/>
        </w:rPr>
      </w:pPr>
    </w:p>
    <w:p>
      <w:pPr>
        <w:pStyle w:val="BodyText"/>
        <w:spacing w:line="712" w:lineRule="auto"/>
        <w:ind w:left="100" w:right="919"/>
        <w:jc w:val="both"/>
      </w:pPr>
      <w:r>
        <w:rPr>
          <w:rFonts w:ascii="Arial" w:eastAsia="Arial"/>
        </w:rPr>
        <w:t>(2</w:t>
      </w:r>
      <w:r>
        <w:rPr>
          <w:rFonts w:ascii="Arial" w:eastAsia="Arial"/>
          <w:spacing w:val="-44"/>
        </w:rPr>
        <w:t> </w:t>
      </w:r>
      <w:r>
        <w:rPr/>
        <w:t>）</w:t>
      </w:r>
      <w:r>
        <w:rPr>
          <w:spacing w:val="-1"/>
        </w:rPr>
        <w:t>保险产品具有较为公平的价格，但市场的适应性较差，无法满足保险人经营风险的量的要求。或简单地说，保险产品风险包</w:t>
      </w:r>
      <w:r>
        <w:rPr/>
        <w:t>括产品设计风险和基于产品设计的展业风险。</w:t>
      </w:r>
    </w:p>
    <w:p>
      <w:pPr>
        <w:pStyle w:val="BodyText"/>
        <w:spacing w:line="720" w:lineRule="auto" w:before="32"/>
        <w:ind w:left="100" w:right="279" w:firstLine="580"/>
        <w:jc w:val="both"/>
      </w:pPr>
      <w:r>
        <w:rPr/>
        <w:t>承保风险主要表现在：  </w:t>
      </w:r>
      <w:r>
        <w:rPr>
          <w:rFonts w:ascii="Arial" w:eastAsia="Arial"/>
        </w:rPr>
        <w:t>(1 </w:t>
      </w:r>
      <w:r>
        <w:rPr/>
        <w:t>）忽视风险责任控制，随意提高自留额、降低费率、放宽承保条件、采取高额退费； </w:t>
      </w:r>
      <w:r>
        <w:rPr>
          <w:rFonts w:ascii="Arial" w:eastAsia="Arial"/>
        </w:rPr>
        <w:t>(2 </w:t>
      </w:r>
      <w:r>
        <w:rPr/>
        <w:t>）超承保能</w:t>
      </w:r>
    </w:p>
    <w:p>
      <w:pPr>
        <w:pStyle w:val="BodyText"/>
        <w:spacing w:before="21"/>
        <w:ind w:left="100"/>
      </w:pPr>
      <w:r>
        <w:rPr/>
        <w:t>力承保。</w:t>
      </w:r>
    </w:p>
    <w:p>
      <w:pPr>
        <w:pStyle w:val="BodyText"/>
        <w:rPr>
          <w:sz w:val="30"/>
        </w:rPr>
      </w:pPr>
    </w:p>
    <w:p>
      <w:pPr>
        <w:pStyle w:val="BodyText"/>
        <w:tabs>
          <w:tab w:pos="2699" w:val="left" w:leader="none"/>
          <w:tab w:pos="7579" w:val="left" w:leader="none"/>
        </w:tabs>
        <w:spacing w:line="720" w:lineRule="auto" w:before="262"/>
        <w:ind w:left="100" w:right="199"/>
      </w:pPr>
      <w:r>
        <w:rPr/>
        <w:t>理赔风险主要表现为保险公司的内部和外部两种风险形式。</w:t>
        <w:tab/>
        <w:t>内</w:t>
      </w:r>
      <w:r>
        <w:rPr>
          <w:spacing w:val="-18"/>
        </w:rPr>
        <w:t>部</w:t>
      </w:r>
      <w:r>
        <w:rPr/>
        <w:t>理赔风险主要包括：</w:t>
        <w:tab/>
      </w:r>
      <w:r>
        <w:rPr>
          <w:rFonts w:ascii="Arial" w:eastAsia="Arial"/>
        </w:rPr>
        <w:t>(1</w:t>
      </w:r>
      <w:r>
        <w:rPr>
          <w:rFonts w:ascii="Arial" w:eastAsia="Arial"/>
          <w:spacing w:val="-44"/>
        </w:rPr>
        <w:t> </w:t>
      </w:r>
      <w:r>
        <w:rPr/>
        <w:t>）公司内部缺乏有效的．监督机制和行为</w:t>
      </w:r>
    </w:p>
    <w:p>
      <w:pPr>
        <w:pStyle w:val="BodyText"/>
        <w:tabs>
          <w:tab w:pos="4679" w:val="left" w:leader="none"/>
          <w:tab w:pos="7739" w:val="left" w:leader="none"/>
        </w:tabs>
        <w:spacing w:line="720" w:lineRule="auto" w:before="22"/>
        <w:ind w:left="100" w:right="38"/>
      </w:pPr>
      <w:r>
        <w:rPr/>
        <w:t>约束机制，</w:t>
      </w:r>
      <w:r>
        <w:rPr>
          <w:spacing w:val="-30"/>
        </w:rPr>
        <w:t> </w:t>
      </w:r>
      <w:r>
        <w:rPr/>
        <w:t>导致虚假理赔、</w:t>
      </w:r>
      <w:r>
        <w:rPr>
          <w:spacing w:val="50"/>
        </w:rPr>
        <w:t> </w:t>
      </w:r>
      <w:r>
        <w:rPr/>
        <w:t>盲目赔付、</w:t>
      </w:r>
      <w:r>
        <w:rPr>
          <w:spacing w:val="-30"/>
        </w:rPr>
        <w:t> </w:t>
      </w:r>
      <w:r>
        <w:rPr/>
        <w:t>通融赔付和以赔谋私；</w:t>
        <w:tab/>
      </w:r>
      <w:r>
        <w:rPr>
          <w:rFonts w:ascii="Arial" w:eastAsia="Arial"/>
        </w:rPr>
        <w:t>(2</w:t>
      </w:r>
      <w:r>
        <w:rPr>
          <w:rFonts w:ascii="Arial" w:eastAsia="Arial"/>
          <w:spacing w:val="-44"/>
        </w:rPr>
        <w:t> </w:t>
      </w:r>
      <w:r>
        <w:rPr>
          <w:spacing w:val="-17"/>
        </w:rPr>
        <w:t>） </w:t>
      </w:r>
      <w:r>
        <w:rPr/>
        <w:t>理赔人员缺乏职业道德和专业素养，</w:t>
        <w:tab/>
        <w:t>在接到出险通知时未能及时</w:t>
      </w:r>
    </w:p>
    <w:p>
      <w:pPr>
        <w:pStyle w:val="BodyText"/>
        <w:tabs>
          <w:tab w:pos="4679" w:val="left" w:leader="none"/>
        </w:tabs>
        <w:spacing w:line="705" w:lineRule="auto" w:before="21"/>
        <w:ind w:left="100" w:right="499"/>
      </w:pPr>
      <w:r>
        <w:rPr/>
        <w:t>赶到现场勘察损失原因和损失程度，</w:t>
        <w:tab/>
        <w:t>或者赶到现场却无法正确</w:t>
      </w:r>
      <w:r>
        <w:rPr>
          <w:spacing w:val="-18"/>
        </w:rPr>
        <w:t>判</w:t>
      </w:r>
      <w:r>
        <w:rPr/>
        <w:t>定损失原因和准确厘算赔偿金额，导致保险公司超额的成本支</w:t>
      </w:r>
    </w:p>
    <w:p>
      <w:pPr>
        <w:pStyle w:val="BodyText"/>
        <w:spacing w:before="21"/>
        <w:ind w:left="100"/>
      </w:pPr>
      <w:r>
        <w:rPr/>
        <w:t>出。外部保险欺诈风险是投保人、被保险人及受益人以欺诈手段</w:t>
      </w:r>
    </w:p>
    <w:p>
      <w:pPr>
        <w:pStyle w:val="BodyText"/>
        <w:rPr>
          <w:sz w:val="30"/>
        </w:rPr>
      </w:pPr>
    </w:p>
    <w:p>
      <w:pPr>
        <w:pStyle w:val="BodyText"/>
        <w:spacing w:before="8"/>
        <w:rPr>
          <w:sz w:val="23"/>
        </w:rPr>
      </w:pPr>
    </w:p>
    <w:p>
      <w:pPr>
        <w:pStyle w:val="BodyText"/>
        <w:spacing w:line="720" w:lineRule="auto"/>
        <w:ind w:left="680" w:right="2219" w:hanging="580"/>
      </w:pPr>
      <w:r>
        <w:rPr/>
        <w:t>伪造或夸大损失，获取不合理保险赔款的违法行为。我国证券公司传统的三大业务及其含义。</w:t>
      </w:r>
    </w:p>
    <w:p>
      <w:pPr>
        <w:pStyle w:val="BodyText"/>
        <w:spacing w:line="705" w:lineRule="auto" w:before="21"/>
        <w:ind w:left="100" w:right="919"/>
      </w:pPr>
      <w:r>
        <w:rPr/>
        <w:t>答：投资银行业务、经纪业务和自营业务是我国证券公司传统的三大业务，也是证券公司收入的主要来源。</w:t>
      </w:r>
    </w:p>
    <w:p>
      <w:pPr>
        <w:pStyle w:val="ListParagraph"/>
        <w:numPr>
          <w:ilvl w:val="0"/>
          <w:numId w:val="6"/>
        </w:numPr>
        <w:tabs>
          <w:tab w:pos="920" w:val="left" w:leader="none"/>
        </w:tabs>
        <w:spacing w:line="240" w:lineRule="auto" w:before="22" w:after="0"/>
        <w:ind w:left="920" w:right="0" w:hanging="240"/>
        <w:jc w:val="left"/>
        <w:rPr>
          <w:sz w:val="26"/>
        </w:rPr>
      </w:pPr>
      <w:r>
        <w:rPr>
          <w:sz w:val="26"/>
        </w:rPr>
        <w:t>投资银行业务就是协助政府或公司企业销售新发行证券、</w:t>
      </w:r>
    </w:p>
    <w:p>
      <w:pPr>
        <w:pStyle w:val="BodyText"/>
        <w:rPr>
          <w:sz w:val="30"/>
        </w:rPr>
      </w:pPr>
    </w:p>
    <w:p>
      <w:pPr>
        <w:pStyle w:val="BodyText"/>
        <w:spacing w:before="7"/>
        <w:rPr>
          <w:sz w:val="23"/>
        </w:rPr>
      </w:pPr>
    </w:p>
    <w:p>
      <w:pPr>
        <w:pStyle w:val="BodyText"/>
        <w:spacing w:line="720" w:lineRule="auto"/>
        <w:ind w:left="100" w:right="919"/>
      </w:pPr>
      <w:r>
        <w:rPr/>
        <w:t>为企业提供财务顾问、帮助企业进行资产重组等。投资银行业务中最重要的一项就是证券承销。证券公司承销证券要收取承销</w:t>
      </w:r>
    </w:p>
    <w:p>
      <w:pPr>
        <w:pStyle w:val="BodyText"/>
        <w:spacing w:before="22"/>
        <w:ind w:left="100"/>
      </w:pPr>
      <w:r>
        <w:rPr/>
        <w:t>费，通常是按照承销所筹集资金的一定比率收取。</w:t>
      </w:r>
    </w:p>
    <w:p>
      <w:pPr>
        <w:pStyle w:val="BodyText"/>
        <w:rPr>
          <w:sz w:val="30"/>
        </w:rPr>
      </w:pPr>
    </w:p>
    <w:p>
      <w:pPr>
        <w:pStyle w:val="BodyText"/>
        <w:rPr>
          <w:sz w:val="22"/>
        </w:rPr>
      </w:pPr>
    </w:p>
    <w:p>
      <w:pPr>
        <w:pStyle w:val="ListParagraph"/>
        <w:numPr>
          <w:ilvl w:val="0"/>
          <w:numId w:val="6"/>
        </w:numPr>
        <w:tabs>
          <w:tab w:pos="920" w:val="left" w:leader="none"/>
        </w:tabs>
        <w:spacing w:line="240" w:lineRule="auto" w:before="0" w:after="0"/>
        <w:ind w:left="920" w:right="0" w:hanging="240"/>
        <w:jc w:val="left"/>
        <w:rPr>
          <w:sz w:val="26"/>
        </w:rPr>
      </w:pPr>
      <w:r>
        <w:rPr>
          <w:sz w:val="26"/>
        </w:rPr>
        <w:t>经纪业务就是替客户买卖已发行证券，即经纪业务是一般</w:t>
      </w:r>
    </w:p>
    <w:p>
      <w:pPr>
        <w:pStyle w:val="BodyText"/>
        <w:tabs>
          <w:tab w:pos="4979" w:val="left" w:leader="none"/>
        </w:tabs>
        <w:spacing w:before="65"/>
        <w:ind w:left="100"/>
      </w:pPr>
      <w:r>
        <w:rPr/>
        <w:br w:type="column"/>
      </w:r>
      <w:r>
        <w:rPr/>
        <w:t>投资者委托证券公司买卖证券的行为。</w:t>
        <w:tab/>
        <w:t>如果证券公司代客理财盈</w:t>
      </w:r>
    </w:p>
    <w:p>
      <w:pPr>
        <w:pStyle w:val="BodyText"/>
        <w:rPr>
          <w:sz w:val="30"/>
        </w:rPr>
      </w:pPr>
    </w:p>
    <w:p>
      <w:pPr>
        <w:pStyle w:val="BodyText"/>
        <w:spacing w:before="8"/>
        <w:rPr>
          <w:sz w:val="23"/>
        </w:rPr>
      </w:pPr>
    </w:p>
    <w:p>
      <w:pPr>
        <w:pStyle w:val="BodyText"/>
        <w:spacing w:line="712" w:lineRule="auto"/>
        <w:ind w:left="100" w:right="899"/>
        <w:jc w:val="both"/>
      </w:pPr>
      <w:r>
        <w:rPr/>
        <w:t>利了，那么，除了收取一定的佣金外，其余所有的盈利都应归委托的投资者所有；反之，如果出现了亏损，则亏损也应由投资者自己来承担。经纪业务是二级市场上的业务活动。</w:t>
      </w:r>
    </w:p>
    <w:p>
      <w:pPr>
        <w:pStyle w:val="ListParagraph"/>
        <w:numPr>
          <w:ilvl w:val="0"/>
          <w:numId w:val="6"/>
        </w:numPr>
        <w:tabs>
          <w:tab w:pos="920" w:val="left" w:leader="none"/>
        </w:tabs>
        <w:spacing w:line="720" w:lineRule="auto" w:before="32" w:after="0"/>
        <w:ind w:left="100" w:right="859" w:firstLine="580"/>
        <w:jc w:val="left"/>
        <w:rPr>
          <w:sz w:val="26"/>
        </w:rPr>
      </w:pPr>
      <w:r>
        <w:rPr>
          <w:spacing w:val="-1"/>
          <w:sz w:val="26"/>
        </w:rPr>
        <w:t>自营业务就是证券公司通过在自己的账户上买卖证券，以</w:t>
      </w:r>
      <w:r>
        <w:rPr>
          <w:sz w:val="26"/>
        </w:rPr>
        <w:t>获取投资收益的行为。与经济业务不同的是，如果证券公司在自</w:t>
      </w:r>
    </w:p>
    <w:p>
      <w:pPr>
        <w:pStyle w:val="BodyText"/>
        <w:spacing w:line="705" w:lineRule="auto" w:before="21"/>
        <w:ind w:left="100" w:right="899"/>
      </w:pPr>
      <w:r>
        <w:rPr/>
        <w:t>营业务中赚钱了，那么，所有的收益都归证券公司自己所有；反之，如果出现了亏损，也要由证券公司自己来承担。</w:t>
      </w:r>
    </w:p>
    <w:p>
      <w:pPr>
        <w:pStyle w:val="BodyText"/>
        <w:tabs>
          <w:tab w:pos="4739" w:val="left" w:leader="none"/>
        </w:tabs>
        <w:spacing w:before="21"/>
        <w:ind w:left="100"/>
      </w:pPr>
      <w:r>
        <w:rPr/>
        <w:t>农村信用社的主要风险及其含义。（</w:t>
        <w:tab/>
      </w:r>
      <w:r>
        <w:rPr>
          <w:rFonts w:ascii="Arial" w:eastAsia="Arial"/>
        </w:rPr>
        <w:t>P268-269</w:t>
      </w:r>
      <w:r>
        <w:rPr>
          <w:rFonts w:ascii="Arial" w:eastAsia="Arial"/>
          <w:spacing w:val="-11"/>
        </w:rPr>
        <w:t> </w:t>
      </w:r>
      <w:r>
        <w:rPr/>
        <w:t>页 ）</w:t>
      </w:r>
    </w:p>
    <w:p>
      <w:pPr>
        <w:pStyle w:val="BodyText"/>
        <w:rPr>
          <w:sz w:val="30"/>
        </w:rPr>
      </w:pPr>
    </w:p>
    <w:p>
      <w:pPr>
        <w:pStyle w:val="BodyText"/>
        <w:spacing w:before="8"/>
        <w:rPr>
          <w:sz w:val="23"/>
        </w:rPr>
      </w:pPr>
    </w:p>
    <w:p>
      <w:pPr>
        <w:pStyle w:val="BodyText"/>
        <w:tabs>
          <w:tab w:pos="5179" w:val="left" w:leader="none"/>
        </w:tabs>
        <w:spacing w:line="720" w:lineRule="auto"/>
        <w:ind w:left="100" w:right="119"/>
      </w:pPr>
      <w:r>
        <w:rPr/>
        <w:t>答：农村信用社的主要风险有信用风险、</w:t>
        <w:tab/>
        <w:t>流动性风险、</w:t>
      </w:r>
      <w:r>
        <w:rPr>
          <w:spacing w:val="-10"/>
        </w:rPr>
        <w:t> </w:t>
      </w:r>
      <w:r>
        <w:rPr/>
        <w:t>利率风险</w:t>
      </w:r>
      <w:r>
        <w:rPr>
          <w:spacing w:val="-18"/>
        </w:rPr>
        <w:t>、</w:t>
      </w:r>
      <w:r>
        <w:rPr/>
        <w:t>操作风险、资本金风险等。</w:t>
      </w:r>
    </w:p>
    <w:p>
      <w:pPr>
        <w:pStyle w:val="BodyText"/>
        <w:tabs>
          <w:tab w:pos="1259" w:val="left" w:leader="none"/>
        </w:tabs>
        <w:spacing w:line="712" w:lineRule="auto" w:before="21"/>
        <w:ind w:left="1260" w:right="679" w:hanging="1160"/>
      </w:pPr>
      <w:r>
        <w:rPr>
          <w:spacing w:val="10"/>
        </w:rPr>
        <w:t>（</w:t>
      </w:r>
      <w:r>
        <w:rPr>
          <w:rFonts w:ascii="Arial" w:eastAsia="Arial"/>
          <w:spacing w:val="10"/>
        </w:rPr>
        <w:t>1</w:t>
      </w:r>
      <w:r>
        <w:rPr>
          <w:rFonts w:ascii="Arial" w:eastAsia="Arial"/>
          <w:spacing w:val="-37"/>
        </w:rPr>
        <w:t> </w:t>
      </w:r>
      <w:r>
        <w:rPr/>
        <w:t>）</w:t>
        <w:tab/>
      </w:r>
      <w:r>
        <w:rPr>
          <w:spacing w:val="-6"/>
        </w:rPr>
        <w:t>信用风险。 农村信用社的信用风险是指信用社的债务人</w:t>
      </w:r>
      <w:r>
        <w:rPr/>
        <w:t>不能偿还或延期偿还贷款本息而造成信用社贷款发生 呆账、坏账，给信用社造成损失。</w:t>
      </w:r>
    </w:p>
    <w:p>
      <w:pPr>
        <w:pStyle w:val="BodyText"/>
        <w:tabs>
          <w:tab w:pos="1259" w:val="left" w:leader="none"/>
        </w:tabs>
        <w:spacing w:line="720" w:lineRule="auto" w:before="32"/>
        <w:ind w:left="1260" w:right="779" w:hanging="1160"/>
      </w:pPr>
      <w:r>
        <w:rPr>
          <w:spacing w:val="10"/>
        </w:rPr>
        <w:t>（</w:t>
      </w:r>
      <w:r>
        <w:rPr>
          <w:rFonts w:ascii="Arial" w:eastAsia="Arial"/>
          <w:spacing w:val="10"/>
        </w:rPr>
        <w:t>2</w:t>
      </w:r>
      <w:r>
        <w:rPr>
          <w:rFonts w:ascii="Arial" w:eastAsia="Arial"/>
          <w:spacing w:val="-37"/>
        </w:rPr>
        <w:t> </w:t>
      </w:r>
      <w:r>
        <w:rPr/>
        <w:t>）</w:t>
        <w:tab/>
        <w:t>流动性风险。流动性风险是信用社面临的最基本的风 </w:t>
      </w:r>
      <w:r>
        <w:rPr>
          <w:spacing w:val="-1"/>
        </w:rPr>
        <w:t>险，主要是指信用社没有足够的资金清偿债务、满足客</w:t>
      </w:r>
    </w:p>
    <w:p>
      <w:pPr>
        <w:pStyle w:val="BodyText"/>
        <w:tabs>
          <w:tab w:pos="3819" w:val="left" w:leader="none"/>
        </w:tabs>
        <w:spacing w:line="705" w:lineRule="auto" w:before="21"/>
        <w:ind w:left="1260" w:right="559"/>
      </w:pPr>
      <w:r>
        <w:rPr/>
        <w:t>户提取存款的需要，</w:t>
        <w:tab/>
        <w:t>不得已以亏损价格卖出其资产来</w:t>
      </w:r>
      <w:r>
        <w:rPr>
          <w:spacing w:val="-18"/>
        </w:rPr>
        <w:t>取</w:t>
      </w:r>
      <w:r>
        <w:rPr/>
        <w:t>得现金而使信用社遭受经济损失的可能。</w:t>
      </w:r>
    </w:p>
    <w:p>
      <w:pPr>
        <w:pStyle w:val="BodyText"/>
        <w:tabs>
          <w:tab w:pos="1259" w:val="left" w:leader="none"/>
        </w:tabs>
        <w:spacing w:before="22"/>
        <w:ind w:left="100"/>
      </w:pPr>
      <w:r>
        <w:rPr>
          <w:spacing w:val="10"/>
        </w:rPr>
        <w:t>（</w:t>
      </w:r>
      <w:r>
        <w:rPr>
          <w:rFonts w:ascii="Arial" w:eastAsia="Arial"/>
          <w:spacing w:val="10"/>
        </w:rPr>
        <w:t>3</w:t>
      </w:r>
      <w:r>
        <w:rPr>
          <w:rFonts w:ascii="Arial" w:eastAsia="Arial"/>
          <w:spacing w:val="-37"/>
        </w:rPr>
        <w:t> </w:t>
      </w:r>
      <w:r>
        <w:rPr/>
        <w:t>）</w:t>
        <w:tab/>
      </w:r>
      <w:r>
        <w:rPr>
          <w:spacing w:val="-5"/>
        </w:rPr>
        <w:t>利率风险。 信用社负债的直接成本和盈利资产的收入都</w:t>
      </w:r>
    </w:p>
    <w:p>
      <w:pPr>
        <w:pStyle w:val="BodyText"/>
        <w:rPr>
          <w:sz w:val="30"/>
        </w:rPr>
      </w:pPr>
    </w:p>
    <w:p>
      <w:pPr>
        <w:pStyle w:val="BodyText"/>
        <w:spacing w:before="7"/>
        <w:rPr>
          <w:sz w:val="23"/>
        </w:rPr>
      </w:pPr>
    </w:p>
    <w:p>
      <w:pPr>
        <w:pStyle w:val="BodyText"/>
        <w:tabs>
          <w:tab w:pos="5259" w:val="left" w:leader="none"/>
          <w:tab w:pos="6699" w:val="left" w:leader="none"/>
        </w:tabs>
        <w:spacing w:line="720" w:lineRule="auto"/>
        <w:ind w:left="1260" w:right="279"/>
      </w:pPr>
      <w:r>
        <w:rPr/>
        <w:t>是通过利息的形成表现出来的。</w:t>
        <w:tab/>
        <w:t>利率风险是指由于市场利率水平的变动造成信用社负债成本变动、</w:t>
        <w:tab/>
        <w:t>资产收益</w:t>
      </w:r>
      <w:r>
        <w:rPr>
          <w:spacing w:val="-18"/>
        </w:rPr>
        <w:t>变</w:t>
      </w:r>
    </w:p>
    <w:p>
      <w:pPr>
        <w:pStyle w:val="BodyText"/>
        <w:tabs>
          <w:tab w:pos="6699" w:val="left" w:leader="none"/>
        </w:tabs>
        <w:spacing w:line="720" w:lineRule="auto" w:before="22"/>
        <w:ind w:left="1260" w:right="279"/>
      </w:pPr>
      <w:r>
        <w:rPr/>
        <w:t>动所造成的损失。利率风险会影响信用社的收益。利率  变化是由金融环境中各种因素共同决定的，</w:t>
        <w:tab/>
        <w:t>不以信用</w:t>
      </w:r>
      <w:r>
        <w:rPr>
          <w:spacing w:val="-18"/>
        </w:rPr>
        <w:t>社</w:t>
      </w:r>
    </w:p>
    <w:p>
      <w:pPr>
        <w:spacing w:after="0" w:line="720" w:lineRule="auto"/>
        <w:sectPr>
          <w:pgSz w:w="19120" w:h="27060"/>
          <w:pgMar w:header="1396" w:footer="1580" w:top="1920" w:bottom="1780" w:left="1040" w:right="1060"/>
          <w:cols w:num="2" w:equalWidth="0">
            <w:col w:w="8301" w:space="439"/>
            <w:col w:w="8280"/>
          </w:cols>
        </w:sectPr>
      </w:pPr>
    </w:p>
    <w:p>
      <w:pPr>
        <w:pStyle w:val="BodyText"/>
        <w:spacing w:before="65"/>
        <w:ind w:left="1260"/>
      </w:pPr>
      <w:r>
        <w:rPr/>
        <w:t>意志为转移。</w:t>
      </w:r>
    </w:p>
    <w:p>
      <w:pPr>
        <w:pStyle w:val="BodyText"/>
        <w:rPr>
          <w:sz w:val="30"/>
        </w:rPr>
      </w:pPr>
    </w:p>
    <w:p>
      <w:pPr>
        <w:pStyle w:val="BodyText"/>
        <w:spacing w:before="8"/>
        <w:rPr>
          <w:sz w:val="23"/>
        </w:rPr>
      </w:pPr>
    </w:p>
    <w:p>
      <w:pPr>
        <w:pStyle w:val="BodyText"/>
        <w:tabs>
          <w:tab w:pos="1259" w:val="left" w:leader="none"/>
        </w:tabs>
        <w:spacing w:line="705" w:lineRule="auto"/>
        <w:ind w:left="1260" w:right="639" w:hanging="1160"/>
      </w:pPr>
      <w:r>
        <w:rPr>
          <w:spacing w:val="10"/>
        </w:rPr>
        <w:t>（</w:t>
      </w:r>
      <w:r>
        <w:rPr>
          <w:rFonts w:ascii="Arial" w:eastAsia="Arial"/>
          <w:spacing w:val="10"/>
        </w:rPr>
        <w:t>4</w:t>
      </w:r>
      <w:r>
        <w:rPr>
          <w:rFonts w:ascii="Arial" w:eastAsia="Arial"/>
          <w:spacing w:val="-37"/>
        </w:rPr>
        <w:t> </w:t>
      </w:r>
      <w:r>
        <w:rPr/>
        <w:t>）</w:t>
        <w:tab/>
        <w:t>操作风险。操作风险是指由于信用社内控机制出现问 </w:t>
      </w:r>
      <w:r>
        <w:rPr>
          <w:spacing w:val="-1"/>
        </w:rPr>
        <w:t>题、失误或由于工作人员因故意或过失造成操作失误，</w:t>
      </w:r>
    </w:p>
    <w:p>
      <w:pPr>
        <w:pStyle w:val="BodyText"/>
        <w:tabs>
          <w:tab w:pos="4979" w:val="left" w:leader="none"/>
        </w:tabs>
        <w:spacing w:before="21"/>
        <w:ind w:left="1260"/>
      </w:pPr>
      <w:r>
        <w:rPr/>
        <w:t>导致信用社资产或盈利减少，</w:t>
        <w:tab/>
        <w:t>并可能给客户造成损失的</w:t>
      </w:r>
    </w:p>
    <w:p>
      <w:pPr>
        <w:pStyle w:val="BodyText"/>
        <w:rPr>
          <w:sz w:val="30"/>
        </w:rPr>
      </w:pPr>
    </w:p>
    <w:p>
      <w:pPr>
        <w:pStyle w:val="BodyText"/>
        <w:spacing w:before="8"/>
        <w:rPr>
          <w:sz w:val="23"/>
        </w:rPr>
      </w:pPr>
    </w:p>
    <w:p>
      <w:pPr>
        <w:pStyle w:val="BodyText"/>
        <w:ind w:left="1260"/>
      </w:pPr>
      <w:r>
        <w:rPr/>
        <w:t>风险。</w:t>
      </w:r>
    </w:p>
    <w:p>
      <w:pPr>
        <w:pStyle w:val="BodyText"/>
        <w:rPr>
          <w:sz w:val="30"/>
        </w:rPr>
      </w:pPr>
    </w:p>
    <w:p>
      <w:pPr>
        <w:pStyle w:val="BodyText"/>
        <w:rPr>
          <w:sz w:val="22"/>
        </w:rPr>
      </w:pPr>
    </w:p>
    <w:p>
      <w:pPr>
        <w:pStyle w:val="BodyText"/>
        <w:tabs>
          <w:tab w:pos="1259" w:val="left" w:leader="none"/>
        </w:tabs>
        <w:spacing w:before="1"/>
        <w:ind w:left="100"/>
      </w:pPr>
      <w:r>
        <w:rPr>
          <w:spacing w:val="10"/>
        </w:rPr>
        <w:t>（</w:t>
      </w:r>
      <w:r>
        <w:rPr>
          <w:rFonts w:ascii="Arial" w:eastAsia="Arial"/>
          <w:spacing w:val="10"/>
        </w:rPr>
        <w:t>5</w:t>
      </w:r>
      <w:r>
        <w:rPr>
          <w:rFonts w:ascii="Arial" w:eastAsia="Arial"/>
          <w:spacing w:val="-37"/>
        </w:rPr>
        <w:t> </w:t>
      </w:r>
      <w:r>
        <w:rPr/>
        <w:t>）</w:t>
        <w:tab/>
      </w:r>
      <w:r>
        <w:rPr>
          <w:spacing w:val="-2"/>
        </w:rPr>
        <w:t>资本金风险。 资本金风险是指信用社出现没有偿债能力</w:t>
      </w:r>
    </w:p>
    <w:p>
      <w:pPr>
        <w:pStyle w:val="BodyText"/>
        <w:rPr>
          <w:sz w:val="30"/>
        </w:rPr>
      </w:pPr>
    </w:p>
    <w:p>
      <w:pPr>
        <w:pStyle w:val="BodyText"/>
        <w:spacing w:before="7"/>
        <w:rPr>
          <w:sz w:val="23"/>
        </w:rPr>
      </w:pPr>
    </w:p>
    <w:p>
      <w:pPr>
        <w:pStyle w:val="BodyText"/>
        <w:spacing w:line="705" w:lineRule="auto"/>
        <w:ind w:left="1260" w:right="639"/>
      </w:pPr>
      <w:r>
        <w:rPr/>
        <w:t>的可能性。从技术角度看，当一家信用社的净收益或股东权益出现负数时，该信用社就缺乏偿债能力。</w:t>
      </w:r>
    </w:p>
    <w:p>
      <w:pPr>
        <w:pStyle w:val="BodyText"/>
        <w:spacing w:before="22"/>
        <w:ind w:left="680"/>
      </w:pPr>
      <w:r>
        <w:rPr/>
        <w:t>金融衍生工具的种类及其含义。</w:t>
      </w:r>
    </w:p>
    <w:p>
      <w:pPr>
        <w:pStyle w:val="BodyText"/>
        <w:rPr>
          <w:sz w:val="30"/>
        </w:rPr>
      </w:pPr>
    </w:p>
    <w:p>
      <w:pPr>
        <w:pStyle w:val="BodyText"/>
        <w:spacing w:before="7"/>
        <w:rPr>
          <w:sz w:val="23"/>
        </w:rPr>
      </w:pPr>
    </w:p>
    <w:p>
      <w:pPr>
        <w:pStyle w:val="BodyText"/>
        <w:tabs>
          <w:tab w:pos="3479" w:val="left" w:leader="none"/>
        </w:tabs>
        <w:spacing w:line="720" w:lineRule="auto"/>
        <w:ind w:left="100" w:right="259" w:firstLine="580"/>
      </w:pPr>
      <w:r>
        <w:rPr/>
        <w:t>金融衍生工具主要包括远期、期货、期权和互换四种基本衍  生工具和由它们通过变化、</w:t>
        <w:tab/>
        <w:t>组合</w:t>
      </w:r>
      <w:r>
        <w:rPr>
          <w:spacing w:val="-20"/>
        </w:rPr>
        <w:t>、</w:t>
      </w:r>
      <w:r>
        <w:rPr/>
        <w:t>合成再衍生出来的一些变形体</w:t>
      </w:r>
      <w:r>
        <w:rPr>
          <w:spacing w:val="-18"/>
        </w:rPr>
        <w:t>。</w:t>
      </w:r>
    </w:p>
    <w:p>
      <w:pPr>
        <w:pStyle w:val="ListParagraph"/>
        <w:numPr>
          <w:ilvl w:val="0"/>
          <w:numId w:val="7"/>
        </w:numPr>
        <w:tabs>
          <w:tab w:pos="1101" w:val="left" w:leader="none"/>
        </w:tabs>
        <w:spacing w:line="705" w:lineRule="auto" w:before="22" w:after="0"/>
        <w:ind w:left="100" w:right="499" w:firstLine="580"/>
        <w:jc w:val="left"/>
        <w:rPr>
          <w:sz w:val="26"/>
        </w:rPr>
      </w:pPr>
      <w:r>
        <w:rPr>
          <w:sz w:val="26"/>
        </w:rPr>
        <w:t>远期（</w:t>
      </w:r>
      <w:r>
        <w:rPr>
          <w:spacing w:val="-10"/>
          <w:sz w:val="26"/>
        </w:rPr>
        <w:t> </w:t>
      </w:r>
      <w:r>
        <w:rPr>
          <w:rFonts w:ascii="Arial" w:eastAsia="Arial"/>
          <w:sz w:val="26"/>
        </w:rPr>
        <w:t>Forward</w:t>
      </w:r>
      <w:r>
        <w:rPr>
          <w:rFonts w:ascii="Arial" w:eastAsia="Arial"/>
          <w:spacing w:val="33"/>
          <w:sz w:val="26"/>
        </w:rPr>
        <w:t> </w:t>
      </w:r>
      <w:r>
        <w:rPr>
          <w:spacing w:val="-100"/>
          <w:sz w:val="26"/>
        </w:rPr>
        <w:t>）</w:t>
      </w:r>
      <w:r>
        <w:rPr>
          <w:spacing w:val="-2"/>
          <w:sz w:val="26"/>
        </w:rPr>
        <w:t>。是指买卖双方约定在未来某一时期按</w:t>
      </w:r>
      <w:r>
        <w:rPr>
          <w:sz w:val="26"/>
        </w:rPr>
        <w:t>确定的价格购买或出售某种资产的协议。</w:t>
      </w:r>
    </w:p>
    <w:p>
      <w:pPr>
        <w:pStyle w:val="ListParagraph"/>
        <w:numPr>
          <w:ilvl w:val="0"/>
          <w:numId w:val="7"/>
        </w:numPr>
        <w:tabs>
          <w:tab w:pos="1101" w:val="left" w:leader="none"/>
        </w:tabs>
        <w:spacing w:line="240" w:lineRule="auto" w:before="21" w:after="0"/>
        <w:ind w:left="1101" w:right="0" w:hanging="421"/>
        <w:jc w:val="left"/>
        <w:rPr>
          <w:sz w:val="26"/>
        </w:rPr>
      </w:pPr>
      <w:r>
        <w:rPr>
          <w:sz w:val="26"/>
        </w:rPr>
        <w:t>期货（</w:t>
      </w:r>
      <w:r>
        <w:rPr>
          <w:spacing w:val="10"/>
          <w:sz w:val="26"/>
        </w:rPr>
        <w:t> </w:t>
      </w:r>
      <w:r>
        <w:rPr>
          <w:rFonts w:ascii="Arial" w:eastAsia="Arial"/>
          <w:sz w:val="26"/>
        </w:rPr>
        <w:t>Futures</w:t>
      </w:r>
      <w:r>
        <w:rPr>
          <w:rFonts w:ascii="Arial" w:eastAsia="Arial"/>
          <w:spacing w:val="26"/>
          <w:sz w:val="26"/>
        </w:rPr>
        <w:t> </w:t>
      </w:r>
      <w:r>
        <w:rPr>
          <w:spacing w:val="-100"/>
          <w:sz w:val="26"/>
        </w:rPr>
        <w:t>）</w:t>
      </w:r>
      <w:r>
        <w:rPr>
          <w:sz w:val="26"/>
        </w:rPr>
        <w:t>。实际上是由交易所统一设计推出，并</w:t>
      </w:r>
    </w:p>
    <w:p>
      <w:pPr>
        <w:pStyle w:val="BodyText"/>
        <w:rPr>
          <w:sz w:val="30"/>
        </w:rPr>
      </w:pPr>
    </w:p>
    <w:p>
      <w:pPr>
        <w:pStyle w:val="BodyText"/>
        <w:spacing w:before="7"/>
        <w:rPr>
          <w:sz w:val="23"/>
        </w:rPr>
      </w:pPr>
    </w:p>
    <w:p>
      <w:pPr>
        <w:pStyle w:val="BodyText"/>
        <w:spacing w:before="1"/>
        <w:ind w:left="100"/>
      </w:pPr>
      <w:r>
        <w:rPr/>
        <w:t>在交易所内集中交易的、标准化的远期交货合同。</w:t>
      </w:r>
    </w:p>
    <w:p>
      <w:pPr>
        <w:pStyle w:val="BodyText"/>
        <w:rPr>
          <w:sz w:val="30"/>
        </w:rPr>
      </w:pPr>
    </w:p>
    <w:p>
      <w:pPr>
        <w:pStyle w:val="BodyText"/>
        <w:rPr>
          <w:sz w:val="22"/>
        </w:rPr>
      </w:pPr>
    </w:p>
    <w:p>
      <w:pPr>
        <w:pStyle w:val="ListParagraph"/>
        <w:numPr>
          <w:ilvl w:val="0"/>
          <w:numId w:val="7"/>
        </w:numPr>
        <w:tabs>
          <w:tab w:pos="1101" w:val="left" w:leader="none"/>
        </w:tabs>
        <w:spacing w:line="240" w:lineRule="auto" w:before="0" w:after="0"/>
        <w:ind w:left="1101" w:right="0" w:hanging="421"/>
        <w:jc w:val="left"/>
        <w:rPr>
          <w:sz w:val="26"/>
        </w:rPr>
      </w:pPr>
      <w:r>
        <w:rPr>
          <w:sz w:val="26"/>
        </w:rPr>
        <w:t>期权（</w:t>
      </w:r>
      <w:r>
        <w:rPr>
          <w:spacing w:val="-70"/>
          <w:sz w:val="26"/>
        </w:rPr>
        <w:t> </w:t>
      </w:r>
      <w:r>
        <w:rPr>
          <w:rFonts w:ascii="Arial" w:eastAsia="Arial"/>
          <w:sz w:val="26"/>
        </w:rPr>
        <w:t>OPtion</w:t>
      </w:r>
      <w:r>
        <w:rPr>
          <w:rFonts w:ascii="Arial" w:eastAsia="Arial"/>
          <w:spacing w:val="32"/>
          <w:sz w:val="26"/>
        </w:rPr>
        <w:t> </w:t>
      </w:r>
      <w:r>
        <w:rPr>
          <w:spacing w:val="-140"/>
          <w:sz w:val="26"/>
        </w:rPr>
        <w:t>）</w:t>
      </w:r>
      <w:r>
        <w:rPr>
          <w:sz w:val="26"/>
        </w:rPr>
        <w:t>。是在未来某时期按协议价格买卖金融工</w:t>
      </w:r>
    </w:p>
    <w:p>
      <w:pPr>
        <w:pStyle w:val="BodyText"/>
        <w:rPr>
          <w:sz w:val="30"/>
        </w:rPr>
      </w:pPr>
    </w:p>
    <w:p>
      <w:pPr>
        <w:pStyle w:val="BodyText"/>
        <w:spacing w:before="8"/>
        <w:rPr>
          <w:sz w:val="23"/>
        </w:rPr>
      </w:pPr>
    </w:p>
    <w:p>
      <w:pPr>
        <w:pStyle w:val="BodyText"/>
        <w:ind w:left="100"/>
      </w:pPr>
      <w:r>
        <w:rPr/>
        <w:t>具的权利而非义务。</w:t>
      </w:r>
    </w:p>
    <w:p>
      <w:pPr>
        <w:pStyle w:val="BodyText"/>
        <w:rPr>
          <w:sz w:val="30"/>
        </w:rPr>
      </w:pPr>
    </w:p>
    <w:p>
      <w:pPr>
        <w:pStyle w:val="ListParagraph"/>
        <w:numPr>
          <w:ilvl w:val="0"/>
          <w:numId w:val="7"/>
        </w:numPr>
        <w:tabs>
          <w:tab w:pos="1101" w:val="left" w:leader="none"/>
        </w:tabs>
        <w:spacing w:line="240" w:lineRule="auto" w:before="263" w:after="0"/>
        <w:ind w:left="1101" w:right="0" w:hanging="421"/>
        <w:jc w:val="left"/>
        <w:rPr>
          <w:sz w:val="26"/>
        </w:rPr>
      </w:pPr>
      <w:r>
        <w:rPr>
          <w:sz w:val="26"/>
        </w:rPr>
        <w:t>互换（</w:t>
      </w:r>
      <w:r>
        <w:rPr>
          <w:spacing w:val="10"/>
          <w:sz w:val="26"/>
        </w:rPr>
        <w:t> </w:t>
      </w:r>
      <w:r>
        <w:rPr>
          <w:rFonts w:ascii="Arial" w:eastAsia="Arial"/>
          <w:sz w:val="26"/>
        </w:rPr>
        <w:t>Swap</w:t>
      </w:r>
      <w:r>
        <w:rPr>
          <w:rFonts w:ascii="Arial" w:eastAsia="Arial"/>
          <w:spacing w:val="-3"/>
          <w:sz w:val="26"/>
        </w:rPr>
        <w:t> </w:t>
      </w:r>
      <w:r>
        <w:rPr>
          <w:spacing w:val="-100"/>
          <w:sz w:val="26"/>
        </w:rPr>
        <w:t>）</w:t>
      </w:r>
      <w:r>
        <w:rPr>
          <w:sz w:val="26"/>
        </w:rPr>
        <w:t>。是当事人之间签订的在未来某一期间内</w:t>
      </w:r>
    </w:p>
    <w:p>
      <w:pPr>
        <w:pStyle w:val="BodyText"/>
        <w:rPr>
          <w:sz w:val="30"/>
        </w:rPr>
      </w:pPr>
    </w:p>
    <w:p>
      <w:pPr>
        <w:pStyle w:val="BodyText"/>
        <w:rPr>
          <w:sz w:val="22"/>
        </w:rPr>
      </w:pPr>
    </w:p>
    <w:p>
      <w:pPr>
        <w:pStyle w:val="BodyText"/>
        <w:tabs>
          <w:tab w:pos="6179" w:val="left" w:leader="none"/>
        </w:tabs>
        <w:ind w:left="100"/>
      </w:pPr>
      <w:r>
        <w:rPr/>
        <w:t>相互交换他们认为具有相等经济价值的现金流（</w:t>
        <w:tab/>
      </w:r>
      <w:r>
        <w:rPr>
          <w:rFonts w:ascii="Arial" w:eastAsia="Arial"/>
        </w:rPr>
        <w:t>Cash</w:t>
      </w:r>
      <w:r>
        <w:rPr>
          <w:rFonts w:ascii="Arial" w:eastAsia="Arial"/>
          <w:spacing w:val="-2"/>
        </w:rPr>
        <w:t> </w:t>
      </w:r>
      <w:r>
        <w:rPr>
          <w:rFonts w:ascii="Arial" w:eastAsia="Arial"/>
        </w:rPr>
        <w:t>Flow</w:t>
      </w:r>
      <w:r>
        <w:rPr>
          <w:rFonts w:ascii="Arial" w:eastAsia="Arial"/>
          <w:spacing w:val="25"/>
        </w:rPr>
        <w:t> </w:t>
      </w:r>
      <w:r>
        <w:rPr/>
        <w:t>）的</w:t>
      </w:r>
    </w:p>
    <w:p>
      <w:pPr>
        <w:pStyle w:val="BodyText"/>
        <w:rPr>
          <w:sz w:val="30"/>
        </w:rPr>
      </w:pPr>
    </w:p>
    <w:p>
      <w:pPr>
        <w:pStyle w:val="BodyText"/>
        <w:spacing w:before="8"/>
        <w:rPr>
          <w:sz w:val="23"/>
        </w:rPr>
      </w:pPr>
    </w:p>
    <w:p>
      <w:pPr>
        <w:pStyle w:val="BodyText"/>
        <w:ind w:left="100"/>
      </w:pPr>
      <w:r>
        <w:rPr/>
        <w:t>合约。</w:t>
      </w:r>
    </w:p>
    <w:p>
      <w:pPr>
        <w:pStyle w:val="BodyText"/>
        <w:rPr>
          <w:sz w:val="30"/>
        </w:rPr>
      </w:pPr>
    </w:p>
    <w:p>
      <w:pPr>
        <w:pStyle w:val="BodyText"/>
        <w:rPr>
          <w:sz w:val="22"/>
        </w:rPr>
      </w:pPr>
    </w:p>
    <w:p>
      <w:pPr>
        <w:pStyle w:val="BodyText"/>
        <w:spacing w:before="1"/>
        <w:ind w:left="680"/>
      </w:pPr>
      <w:r>
        <w:rPr/>
        <w:t>何为货币的时间价值原理？</w:t>
      </w:r>
    </w:p>
    <w:p>
      <w:pPr>
        <w:pStyle w:val="BodyText"/>
        <w:rPr>
          <w:sz w:val="30"/>
        </w:rPr>
      </w:pPr>
    </w:p>
    <w:p>
      <w:pPr>
        <w:pStyle w:val="BodyText"/>
        <w:spacing w:before="7"/>
        <w:rPr>
          <w:sz w:val="23"/>
        </w:rPr>
      </w:pPr>
    </w:p>
    <w:p>
      <w:pPr>
        <w:pStyle w:val="BodyText"/>
        <w:tabs>
          <w:tab w:pos="4639" w:val="left" w:leader="none"/>
        </w:tabs>
        <w:spacing w:line="720" w:lineRule="auto"/>
        <w:ind w:left="100" w:right="79" w:firstLine="580"/>
      </w:pPr>
      <w:r>
        <w:rPr/>
        <w:t>货币的时间价值</w:t>
      </w:r>
      <w:r>
        <w:rPr>
          <w:spacing w:val="57"/>
        </w:rPr>
        <w:t> </w:t>
      </w:r>
      <w:r>
        <w:rPr/>
        <w:t>（</w:t>
      </w:r>
      <w:r>
        <w:rPr>
          <w:spacing w:val="-62"/>
        </w:rPr>
        <w:t> </w:t>
      </w:r>
      <w:r>
        <w:rPr>
          <w:rFonts w:ascii="Arial" w:eastAsia="Arial"/>
        </w:rPr>
        <w:t>TVM</w:t>
      </w:r>
      <w:r>
        <w:rPr>
          <w:rFonts w:ascii="Arial" w:eastAsia="Arial"/>
          <w:spacing w:val="5"/>
        </w:rPr>
        <w:t> </w:t>
      </w:r>
      <w:r>
        <w:rPr/>
        <w:t>）是指当前所持有的一定量货币比未来获得的等量货币具有更高的价值。</w:t>
        <w:tab/>
        <w:t>这是因为：</w:t>
      </w:r>
      <w:r>
        <w:rPr>
          <w:spacing w:val="-90"/>
        </w:rPr>
        <w:t> </w:t>
      </w:r>
      <w:r>
        <w:rPr/>
        <w:t>货币可用于投资</w:t>
      </w:r>
      <w:r>
        <w:rPr>
          <w:spacing w:val="-18"/>
        </w:rPr>
        <w:t>，</w:t>
      </w:r>
    </w:p>
    <w:p>
      <w:pPr>
        <w:pStyle w:val="BodyText"/>
        <w:spacing w:before="65"/>
        <w:ind w:left="100"/>
      </w:pPr>
      <w:r>
        <w:rPr/>
        <w:br w:type="column"/>
      </w:r>
      <w:r>
        <w:rPr/>
        <w:t>获得利息，从而在将来拥有更多的货币量；货币的购买力会因通</w:t>
      </w:r>
    </w:p>
    <w:p>
      <w:pPr>
        <w:pStyle w:val="BodyText"/>
        <w:rPr>
          <w:sz w:val="30"/>
        </w:rPr>
      </w:pPr>
    </w:p>
    <w:p>
      <w:pPr>
        <w:pStyle w:val="BodyText"/>
        <w:spacing w:before="8"/>
        <w:rPr>
          <w:sz w:val="23"/>
        </w:rPr>
      </w:pPr>
    </w:p>
    <w:p>
      <w:pPr>
        <w:pStyle w:val="BodyText"/>
        <w:spacing w:line="705" w:lineRule="auto"/>
        <w:ind w:left="100" w:right="899"/>
      </w:pPr>
      <w:r>
        <w:rPr/>
        <w:t>货膨胀的影响而随时间改变；一般来说，未来的预期收人具有不确定性。</w:t>
      </w:r>
    </w:p>
    <w:p>
      <w:pPr>
        <w:pStyle w:val="BodyText"/>
        <w:spacing w:before="21"/>
        <w:ind w:left="100"/>
      </w:pPr>
      <w:r>
        <w:rPr/>
        <w:t>网络银行的风险管理方法的主要内容是什么？</w:t>
      </w:r>
    </w:p>
    <w:p>
      <w:pPr>
        <w:pStyle w:val="BodyText"/>
        <w:rPr>
          <w:sz w:val="30"/>
        </w:rPr>
      </w:pPr>
    </w:p>
    <w:p>
      <w:pPr>
        <w:pStyle w:val="BodyText"/>
        <w:spacing w:before="8"/>
        <w:rPr>
          <w:sz w:val="23"/>
        </w:rPr>
      </w:pPr>
    </w:p>
    <w:p>
      <w:pPr>
        <w:pStyle w:val="BodyText"/>
        <w:spacing w:line="720" w:lineRule="auto"/>
        <w:ind w:left="100" w:right="899"/>
      </w:pPr>
      <w:r>
        <w:rPr/>
        <w:t>答：技术创新的快速发展改变着银行在网络银行业务中面临的风险特征和范围，加大了银行管理风险的难度。在网络银行业务领</w:t>
      </w:r>
    </w:p>
    <w:p>
      <w:pPr>
        <w:pStyle w:val="BodyText"/>
        <w:spacing w:line="712" w:lineRule="auto" w:before="21"/>
        <w:ind w:left="100" w:right="899"/>
        <w:jc w:val="both"/>
      </w:pPr>
      <w:r>
        <w:rPr/>
        <w:t>域中，最为常见、最为通俗的是巴塞尔委员会制定的风险管理步骤，巴塞尔委员会把网络银行风险管理分为三个步骤：即评估风险、管理和控制风险以及监控风险。</w:t>
      </w:r>
    </w:p>
    <w:p>
      <w:pPr>
        <w:spacing w:after="0" w:line="712" w:lineRule="auto"/>
        <w:jc w:val="both"/>
        <w:sectPr>
          <w:pgSz w:w="19120" w:h="27060"/>
          <w:pgMar w:header="1396" w:footer="1580" w:top="1920" w:bottom="1780" w:left="1040" w:right="1060"/>
          <w:cols w:num="2" w:equalWidth="0">
            <w:col w:w="8141" w:space="599"/>
            <w:col w:w="8280"/>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5"/>
        </w:rPr>
      </w:pPr>
    </w:p>
    <w:p>
      <w:pPr>
        <w:pStyle w:val="BodyText"/>
        <w:ind w:left="260"/>
        <w:rPr>
          <w:rFonts w:ascii="Times New Roman"/>
          <w:sz w:val="20"/>
        </w:rPr>
      </w:pPr>
      <w:r>
        <w:rPr>
          <w:rFonts w:ascii="Times New Roman"/>
          <w:sz w:val="20"/>
        </w:rPr>
        <w:pict>
          <v:group style="width:385.85pt;height:693.05pt;mso-position-horizontal-relative:char;mso-position-vertical-relative:line" coordorigin="0,0" coordsize="7717,13861">
            <v:shape style="position:absolute;left:16;top:1393;width:7700;height:12468" type="#_x0000_t75" stroked="false">
              <v:imagedata r:id="rId7" o:title=""/>
            </v:shape>
            <v:shape style="position:absolute;left:640;top:0;width:6025;height:1609" type="#_x0000_t202" filled="false" stroked="false">
              <v:textbox inset="0,0,0,0">
                <w:txbxContent>
                  <w:p>
                    <w:pPr>
                      <w:spacing w:line="1609" w:lineRule="exact" w:before="0"/>
                      <w:ind w:left="0" w:right="0" w:firstLine="0"/>
                      <w:jc w:val="left"/>
                      <w:rPr>
                        <w:rFonts w:ascii="Arial"/>
                        <w:sz w:val="144"/>
                      </w:rPr>
                    </w:pPr>
                    <w:r>
                      <w:rPr>
                        <w:rFonts w:ascii="Arial"/>
                        <w:sz w:val="144"/>
                      </w:rPr>
                      <w:t>Welcome</w:t>
                    </w:r>
                  </w:p>
                </w:txbxContent>
              </v:textbox>
              <w10:wrap type="none"/>
            </v:shape>
            <v:shape style="position:absolute;left:2960;top:3000;width:1702;height:1609" type="#_x0000_t202" filled="false" stroked="false">
              <v:textbox inset="0,0,0,0">
                <w:txbxContent>
                  <w:p>
                    <w:pPr>
                      <w:spacing w:line="1609" w:lineRule="exact" w:before="0"/>
                      <w:ind w:left="0" w:right="0" w:firstLine="0"/>
                      <w:jc w:val="left"/>
                      <w:rPr>
                        <w:rFonts w:ascii="Arial"/>
                        <w:sz w:val="144"/>
                      </w:rPr>
                    </w:pPr>
                    <w:r>
                      <w:rPr>
                        <w:rFonts w:ascii="Arial"/>
                        <w:sz w:val="144"/>
                      </w:rPr>
                      <w:t>To</w:t>
                    </w:r>
                  </w:p>
                </w:txbxContent>
              </v:textbox>
              <w10:wrap type="none"/>
            </v:shape>
            <v:shape style="position:absolute;left:0;top:6040;width:7221;height:1609" type="#_x0000_t202" filled="false" stroked="false">
              <v:textbox inset="0,0,0,0">
                <w:txbxContent>
                  <w:p>
                    <w:pPr>
                      <w:spacing w:line="1609" w:lineRule="exact" w:before="0"/>
                      <w:ind w:left="0" w:right="0" w:firstLine="0"/>
                      <w:jc w:val="left"/>
                      <w:rPr>
                        <w:rFonts w:ascii="Arial"/>
                        <w:sz w:val="144"/>
                      </w:rPr>
                    </w:pPr>
                    <w:r>
                      <w:rPr>
                        <w:rFonts w:ascii="Arial"/>
                        <w:sz w:val="144"/>
                      </w:rPr>
                      <w:t>Download !</w:t>
                    </w:r>
                  </w:p>
                </w:txbxContent>
              </v:textbox>
              <w10:wrap type="none"/>
            </v:shape>
            <v:shape style="position:absolute;left:3440;top:9040;width:822;height:1609" type="#_x0000_t202" filled="false" stroked="false">
              <v:textbox inset="0,0,0,0">
                <w:txbxContent>
                  <w:p>
                    <w:pPr>
                      <w:spacing w:line="1609" w:lineRule="exact" w:before="0"/>
                      <w:ind w:left="0" w:right="0" w:firstLine="0"/>
                      <w:jc w:val="left"/>
                      <w:rPr>
                        <w:rFonts w:ascii="Arial"/>
                        <w:sz w:val="144"/>
                      </w:rPr>
                    </w:pPr>
                    <w:r>
                      <w:rPr>
                        <w:rFonts w:ascii="Arial"/>
                        <w:sz w:val="144"/>
                      </w:rPr>
                      <w:t>!!</w:t>
                    </w:r>
                  </w:p>
                </w:txbxContent>
              </v:textbox>
              <w10:wrap type="none"/>
            </v:shape>
            <v:shape style="position:absolute;left:1180;top:13342;width:5900;height:480" type="#_x0000_t202" filled="false" stroked="false">
              <v:textbox inset="0,0,0,0">
                <w:txbxContent>
                  <w:p>
                    <w:pPr>
                      <w:spacing w:line="479" w:lineRule="exact" w:before="0"/>
                      <w:ind w:left="0" w:right="0" w:firstLine="0"/>
                      <w:jc w:val="left"/>
                      <w:rPr>
                        <w:sz w:val="42"/>
                      </w:rPr>
                    </w:pPr>
                    <w:r>
                      <w:rPr>
                        <w:sz w:val="42"/>
                      </w:rPr>
                      <w:t>欢迎您的下载，资料仅供参考！</w:t>
                    </w:r>
                  </w:p>
                </w:txbxContent>
              </v:textbox>
              <w10:wrap type="none"/>
            </v:shape>
          </v:group>
        </w:pict>
      </w:r>
      <w:r>
        <w:rPr>
          <w:rFonts w:ascii="Times New Roman"/>
          <w:sz w:val="20"/>
        </w:rPr>
      </w:r>
    </w:p>
    <w:sectPr>
      <w:pgSz w:w="19120" w:h="27060"/>
      <w:pgMar w:header="1396" w:footer="1580" w:top="1920" w:bottom="1780" w:left="10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0pt;margin-top:1262.984375pt;width:30pt;height:10pt;mso-position-horizontal-relative:page;mso-position-vertical-relative:page;z-index:-252222464" type="#_x0000_t202" filled="false" stroked="false">
          <v:textbox inset="0,0,0,0">
            <w:txbxContent>
              <w:p>
                <w:pPr>
                  <w:spacing w:before="0"/>
                  <w:ind w:left="20" w:right="0" w:firstLine="0"/>
                  <w:jc w:val="left"/>
                  <w:rPr>
                    <w:sz w:val="14"/>
                  </w:rPr>
                </w:pPr>
                <w:r>
                  <w:rPr>
                    <w:sz w:val="14"/>
                  </w:rPr>
                  <w:t>精品资料</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3488" from="189pt,79.507500pt" to="739.289206pt,79.507500pt" stroked="true" strokeweight=".56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0" w:hanging="421"/>
        <w:jc w:val="left"/>
      </w:pPr>
      <w:rPr>
        <w:rFonts w:hint="default" w:ascii="Arial" w:hAnsi="Arial" w:eastAsia="Arial" w:cs="Arial"/>
        <w:spacing w:val="-100"/>
        <w:w w:val="100"/>
        <w:sz w:val="24"/>
        <w:szCs w:val="24"/>
        <w:lang w:val="zh-CN" w:eastAsia="zh-CN" w:bidi="zh-CN"/>
      </w:rPr>
    </w:lvl>
    <w:lvl w:ilvl="1">
      <w:start w:val="0"/>
      <w:numFmt w:val="bullet"/>
      <w:lvlText w:val="•"/>
      <w:lvlJc w:val="left"/>
      <w:pPr>
        <w:ind w:left="904" w:hanging="421"/>
      </w:pPr>
      <w:rPr>
        <w:rFonts w:hint="default"/>
        <w:lang w:val="zh-CN" w:eastAsia="zh-CN" w:bidi="zh-CN"/>
      </w:rPr>
    </w:lvl>
    <w:lvl w:ilvl="2">
      <w:start w:val="0"/>
      <w:numFmt w:val="bullet"/>
      <w:lvlText w:val="•"/>
      <w:lvlJc w:val="left"/>
      <w:pPr>
        <w:ind w:left="1708" w:hanging="421"/>
      </w:pPr>
      <w:rPr>
        <w:rFonts w:hint="default"/>
        <w:lang w:val="zh-CN" w:eastAsia="zh-CN" w:bidi="zh-CN"/>
      </w:rPr>
    </w:lvl>
    <w:lvl w:ilvl="3">
      <w:start w:val="0"/>
      <w:numFmt w:val="bullet"/>
      <w:lvlText w:val="•"/>
      <w:lvlJc w:val="left"/>
      <w:pPr>
        <w:ind w:left="2512" w:hanging="421"/>
      </w:pPr>
      <w:rPr>
        <w:rFonts w:hint="default"/>
        <w:lang w:val="zh-CN" w:eastAsia="zh-CN" w:bidi="zh-CN"/>
      </w:rPr>
    </w:lvl>
    <w:lvl w:ilvl="4">
      <w:start w:val="0"/>
      <w:numFmt w:val="bullet"/>
      <w:lvlText w:val="•"/>
      <w:lvlJc w:val="left"/>
      <w:pPr>
        <w:ind w:left="3316" w:hanging="421"/>
      </w:pPr>
      <w:rPr>
        <w:rFonts w:hint="default"/>
        <w:lang w:val="zh-CN" w:eastAsia="zh-CN" w:bidi="zh-CN"/>
      </w:rPr>
    </w:lvl>
    <w:lvl w:ilvl="5">
      <w:start w:val="0"/>
      <w:numFmt w:val="bullet"/>
      <w:lvlText w:val="•"/>
      <w:lvlJc w:val="left"/>
      <w:pPr>
        <w:ind w:left="4120" w:hanging="421"/>
      </w:pPr>
      <w:rPr>
        <w:rFonts w:hint="default"/>
        <w:lang w:val="zh-CN" w:eastAsia="zh-CN" w:bidi="zh-CN"/>
      </w:rPr>
    </w:lvl>
    <w:lvl w:ilvl="6">
      <w:start w:val="0"/>
      <w:numFmt w:val="bullet"/>
      <w:lvlText w:val="•"/>
      <w:lvlJc w:val="left"/>
      <w:pPr>
        <w:ind w:left="4924" w:hanging="421"/>
      </w:pPr>
      <w:rPr>
        <w:rFonts w:hint="default"/>
        <w:lang w:val="zh-CN" w:eastAsia="zh-CN" w:bidi="zh-CN"/>
      </w:rPr>
    </w:lvl>
    <w:lvl w:ilvl="7">
      <w:start w:val="0"/>
      <w:numFmt w:val="bullet"/>
      <w:lvlText w:val="•"/>
      <w:lvlJc w:val="left"/>
      <w:pPr>
        <w:ind w:left="5728" w:hanging="421"/>
      </w:pPr>
      <w:rPr>
        <w:rFonts w:hint="default"/>
        <w:lang w:val="zh-CN" w:eastAsia="zh-CN" w:bidi="zh-CN"/>
      </w:rPr>
    </w:lvl>
    <w:lvl w:ilvl="8">
      <w:start w:val="0"/>
      <w:numFmt w:val="bullet"/>
      <w:lvlText w:val="•"/>
      <w:lvlJc w:val="left"/>
      <w:pPr>
        <w:ind w:left="6532" w:hanging="421"/>
      </w:pPr>
      <w:rPr>
        <w:rFonts w:hint="default"/>
        <w:lang w:val="zh-CN" w:eastAsia="zh-CN" w:bidi="zh-CN"/>
      </w:rPr>
    </w:lvl>
  </w:abstractNum>
  <w:abstractNum w:abstractNumId="5">
    <w:multiLevelType w:val="hybridMultilevel"/>
    <w:lvl w:ilvl="0">
      <w:start w:val="1"/>
      <w:numFmt w:val="decimal"/>
      <w:lvlText w:val="%1."/>
      <w:lvlJc w:val="left"/>
      <w:pPr>
        <w:ind w:left="920" w:hanging="240"/>
        <w:jc w:val="left"/>
      </w:pPr>
      <w:rPr>
        <w:rFonts w:hint="default" w:ascii="Arial" w:hAnsi="Arial" w:eastAsia="Arial" w:cs="Arial"/>
        <w:spacing w:val="-1"/>
        <w:w w:val="100"/>
        <w:sz w:val="26"/>
        <w:szCs w:val="26"/>
        <w:lang w:val="zh-CN" w:eastAsia="zh-CN" w:bidi="zh-CN"/>
      </w:rPr>
    </w:lvl>
    <w:lvl w:ilvl="1">
      <w:start w:val="0"/>
      <w:numFmt w:val="bullet"/>
      <w:lvlText w:val="•"/>
      <w:lvlJc w:val="left"/>
      <w:pPr>
        <w:ind w:left="1658" w:hanging="240"/>
      </w:pPr>
      <w:rPr>
        <w:rFonts w:hint="default"/>
        <w:lang w:val="zh-CN" w:eastAsia="zh-CN" w:bidi="zh-CN"/>
      </w:rPr>
    </w:lvl>
    <w:lvl w:ilvl="2">
      <w:start w:val="0"/>
      <w:numFmt w:val="bullet"/>
      <w:lvlText w:val="•"/>
      <w:lvlJc w:val="left"/>
      <w:pPr>
        <w:ind w:left="2396" w:hanging="240"/>
      </w:pPr>
      <w:rPr>
        <w:rFonts w:hint="default"/>
        <w:lang w:val="zh-CN" w:eastAsia="zh-CN" w:bidi="zh-CN"/>
      </w:rPr>
    </w:lvl>
    <w:lvl w:ilvl="3">
      <w:start w:val="0"/>
      <w:numFmt w:val="bullet"/>
      <w:lvlText w:val="•"/>
      <w:lvlJc w:val="left"/>
      <w:pPr>
        <w:ind w:left="3134" w:hanging="240"/>
      </w:pPr>
      <w:rPr>
        <w:rFonts w:hint="default"/>
        <w:lang w:val="zh-CN" w:eastAsia="zh-CN" w:bidi="zh-CN"/>
      </w:rPr>
    </w:lvl>
    <w:lvl w:ilvl="4">
      <w:start w:val="0"/>
      <w:numFmt w:val="bullet"/>
      <w:lvlText w:val="•"/>
      <w:lvlJc w:val="left"/>
      <w:pPr>
        <w:ind w:left="3872" w:hanging="240"/>
      </w:pPr>
      <w:rPr>
        <w:rFonts w:hint="default"/>
        <w:lang w:val="zh-CN" w:eastAsia="zh-CN" w:bidi="zh-CN"/>
      </w:rPr>
    </w:lvl>
    <w:lvl w:ilvl="5">
      <w:start w:val="0"/>
      <w:numFmt w:val="bullet"/>
      <w:lvlText w:val="•"/>
      <w:lvlJc w:val="left"/>
      <w:pPr>
        <w:ind w:left="4610" w:hanging="240"/>
      </w:pPr>
      <w:rPr>
        <w:rFonts w:hint="default"/>
        <w:lang w:val="zh-CN" w:eastAsia="zh-CN" w:bidi="zh-CN"/>
      </w:rPr>
    </w:lvl>
    <w:lvl w:ilvl="6">
      <w:start w:val="0"/>
      <w:numFmt w:val="bullet"/>
      <w:lvlText w:val="•"/>
      <w:lvlJc w:val="left"/>
      <w:pPr>
        <w:ind w:left="5348" w:hanging="240"/>
      </w:pPr>
      <w:rPr>
        <w:rFonts w:hint="default"/>
        <w:lang w:val="zh-CN" w:eastAsia="zh-CN" w:bidi="zh-CN"/>
      </w:rPr>
    </w:lvl>
    <w:lvl w:ilvl="7">
      <w:start w:val="0"/>
      <w:numFmt w:val="bullet"/>
      <w:lvlText w:val="•"/>
      <w:lvlJc w:val="left"/>
      <w:pPr>
        <w:ind w:left="6086" w:hanging="240"/>
      </w:pPr>
      <w:rPr>
        <w:rFonts w:hint="default"/>
        <w:lang w:val="zh-CN" w:eastAsia="zh-CN" w:bidi="zh-CN"/>
      </w:rPr>
    </w:lvl>
    <w:lvl w:ilvl="8">
      <w:start w:val="0"/>
      <w:numFmt w:val="bullet"/>
      <w:lvlText w:val="•"/>
      <w:lvlJc w:val="left"/>
      <w:pPr>
        <w:ind w:left="6824" w:hanging="240"/>
      </w:pPr>
      <w:rPr>
        <w:rFonts w:hint="default"/>
        <w:lang w:val="zh-CN" w:eastAsia="zh-CN" w:bidi="zh-CN"/>
      </w:rPr>
    </w:lvl>
  </w:abstractNum>
  <w:abstractNum w:abstractNumId="4">
    <w:multiLevelType w:val="hybridMultilevel"/>
    <w:lvl w:ilvl="0">
      <w:start w:val="30"/>
      <w:numFmt w:val="decimal"/>
      <w:lvlText w:val="%1"/>
      <w:lvlJc w:val="left"/>
      <w:pPr>
        <w:ind w:left="500" w:hanging="400"/>
        <w:jc w:val="left"/>
      </w:pPr>
      <w:rPr>
        <w:rFonts w:hint="default" w:ascii="Arial" w:hAnsi="Arial" w:eastAsia="Arial" w:cs="Arial"/>
        <w:spacing w:val="-34"/>
        <w:w w:val="100"/>
        <w:sz w:val="26"/>
        <w:szCs w:val="26"/>
        <w:lang w:val="zh-CN" w:eastAsia="zh-CN" w:bidi="zh-CN"/>
      </w:rPr>
    </w:lvl>
    <w:lvl w:ilvl="1">
      <w:start w:val="1"/>
      <w:numFmt w:val="decimal"/>
      <w:lvlText w:val="%2."/>
      <w:lvlJc w:val="left"/>
      <w:pPr>
        <w:ind w:left="100" w:hanging="240"/>
        <w:jc w:val="right"/>
      </w:pPr>
      <w:rPr>
        <w:rFonts w:hint="default" w:ascii="Arial" w:hAnsi="Arial" w:eastAsia="Arial" w:cs="Arial"/>
        <w:spacing w:val="-1"/>
        <w:w w:val="100"/>
        <w:sz w:val="26"/>
        <w:szCs w:val="26"/>
        <w:lang w:val="zh-CN" w:eastAsia="zh-CN" w:bidi="zh-CN"/>
      </w:rPr>
    </w:lvl>
    <w:lvl w:ilvl="2">
      <w:start w:val="0"/>
      <w:numFmt w:val="bullet"/>
      <w:lvlText w:val="•"/>
      <w:lvlJc w:val="left"/>
      <w:pPr>
        <w:ind w:left="371" w:hanging="240"/>
      </w:pPr>
      <w:rPr>
        <w:rFonts w:hint="default"/>
        <w:lang w:val="zh-CN" w:eastAsia="zh-CN" w:bidi="zh-CN"/>
      </w:rPr>
    </w:lvl>
    <w:lvl w:ilvl="3">
      <w:start w:val="0"/>
      <w:numFmt w:val="bullet"/>
      <w:lvlText w:val="•"/>
      <w:lvlJc w:val="left"/>
      <w:pPr>
        <w:ind w:left="242" w:hanging="240"/>
      </w:pPr>
      <w:rPr>
        <w:rFonts w:hint="default"/>
        <w:lang w:val="zh-CN" w:eastAsia="zh-CN" w:bidi="zh-CN"/>
      </w:rPr>
    </w:lvl>
    <w:lvl w:ilvl="4">
      <w:start w:val="0"/>
      <w:numFmt w:val="bullet"/>
      <w:lvlText w:val="•"/>
      <w:lvlJc w:val="left"/>
      <w:pPr>
        <w:ind w:left="113" w:hanging="240"/>
      </w:pPr>
      <w:rPr>
        <w:rFonts w:hint="default"/>
        <w:lang w:val="zh-CN" w:eastAsia="zh-CN" w:bidi="zh-CN"/>
      </w:rPr>
    </w:lvl>
    <w:lvl w:ilvl="5">
      <w:start w:val="0"/>
      <w:numFmt w:val="bullet"/>
      <w:lvlText w:val="•"/>
      <w:lvlJc w:val="left"/>
      <w:pPr>
        <w:ind w:left="-16" w:hanging="240"/>
      </w:pPr>
      <w:rPr>
        <w:rFonts w:hint="default"/>
        <w:lang w:val="zh-CN" w:eastAsia="zh-CN" w:bidi="zh-CN"/>
      </w:rPr>
    </w:lvl>
    <w:lvl w:ilvl="6">
      <w:start w:val="0"/>
      <w:numFmt w:val="bullet"/>
      <w:lvlText w:val="•"/>
      <w:lvlJc w:val="left"/>
      <w:pPr>
        <w:ind w:left="-145" w:hanging="240"/>
      </w:pPr>
      <w:rPr>
        <w:rFonts w:hint="default"/>
        <w:lang w:val="zh-CN" w:eastAsia="zh-CN" w:bidi="zh-CN"/>
      </w:rPr>
    </w:lvl>
    <w:lvl w:ilvl="7">
      <w:start w:val="0"/>
      <w:numFmt w:val="bullet"/>
      <w:lvlText w:val="•"/>
      <w:lvlJc w:val="left"/>
      <w:pPr>
        <w:ind w:left="-274" w:hanging="240"/>
      </w:pPr>
      <w:rPr>
        <w:rFonts w:hint="default"/>
        <w:lang w:val="zh-CN" w:eastAsia="zh-CN" w:bidi="zh-CN"/>
      </w:rPr>
    </w:lvl>
    <w:lvl w:ilvl="8">
      <w:start w:val="0"/>
      <w:numFmt w:val="bullet"/>
      <w:lvlText w:val="•"/>
      <w:lvlJc w:val="left"/>
      <w:pPr>
        <w:ind w:left="-403" w:hanging="240"/>
      </w:pPr>
      <w:rPr>
        <w:rFonts w:hint="default"/>
        <w:lang w:val="zh-CN" w:eastAsia="zh-CN" w:bidi="zh-CN"/>
      </w:rPr>
    </w:lvl>
  </w:abstractNum>
  <w:abstractNum w:abstractNumId="3">
    <w:multiLevelType w:val="hybridMultilevel"/>
    <w:lvl w:ilvl="0">
      <w:start w:val="24"/>
      <w:numFmt w:val="decimal"/>
      <w:lvlText w:val="%1"/>
      <w:lvlJc w:val="left"/>
      <w:pPr>
        <w:ind w:left="480" w:hanging="380"/>
        <w:jc w:val="left"/>
      </w:pPr>
      <w:rPr>
        <w:rFonts w:hint="default" w:ascii="Arial" w:hAnsi="Arial" w:eastAsia="Arial" w:cs="Arial"/>
        <w:spacing w:val="-1"/>
        <w:w w:val="100"/>
        <w:sz w:val="26"/>
        <w:szCs w:val="26"/>
        <w:lang w:val="zh-CN" w:eastAsia="zh-CN" w:bidi="zh-CN"/>
      </w:rPr>
    </w:lvl>
    <w:lvl w:ilvl="1">
      <w:start w:val="0"/>
      <w:numFmt w:val="bullet"/>
      <w:lvlText w:val="•"/>
      <w:lvlJc w:val="left"/>
      <w:pPr>
        <w:ind w:left="1260" w:hanging="380"/>
      </w:pPr>
      <w:rPr>
        <w:rFonts w:hint="default"/>
        <w:lang w:val="zh-CN" w:eastAsia="zh-CN" w:bidi="zh-CN"/>
      </w:rPr>
    </w:lvl>
    <w:lvl w:ilvl="2">
      <w:start w:val="0"/>
      <w:numFmt w:val="bullet"/>
      <w:lvlText w:val="•"/>
      <w:lvlJc w:val="left"/>
      <w:pPr>
        <w:ind w:left="2040" w:hanging="380"/>
      </w:pPr>
      <w:rPr>
        <w:rFonts w:hint="default"/>
        <w:lang w:val="zh-CN" w:eastAsia="zh-CN" w:bidi="zh-CN"/>
      </w:rPr>
    </w:lvl>
    <w:lvl w:ilvl="3">
      <w:start w:val="0"/>
      <w:numFmt w:val="bullet"/>
      <w:lvlText w:val="•"/>
      <w:lvlJc w:val="left"/>
      <w:pPr>
        <w:ind w:left="2820" w:hanging="380"/>
      </w:pPr>
      <w:rPr>
        <w:rFonts w:hint="default"/>
        <w:lang w:val="zh-CN" w:eastAsia="zh-CN" w:bidi="zh-CN"/>
      </w:rPr>
    </w:lvl>
    <w:lvl w:ilvl="4">
      <w:start w:val="0"/>
      <w:numFmt w:val="bullet"/>
      <w:lvlText w:val="•"/>
      <w:lvlJc w:val="left"/>
      <w:pPr>
        <w:ind w:left="3600" w:hanging="380"/>
      </w:pPr>
      <w:rPr>
        <w:rFonts w:hint="default"/>
        <w:lang w:val="zh-CN" w:eastAsia="zh-CN" w:bidi="zh-CN"/>
      </w:rPr>
    </w:lvl>
    <w:lvl w:ilvl="5">
      <w:start w:val="0"/>
      <w:numFmt w:val="bullet"/>
      <w:lvlText w:val="•"/>
      <w:lvlJc w:val="left"/>
      <w:pPr>
        <w:ind w:left="4380" w:hanging="380"/>
      </w:pPr>
      <w:rPr>
        <w:rFonts w:hint="default"/>
        <w:lang w:val="zh-CN" w:eastAsia="zh-CN" w:bidi="zh-CN"/>
      </w:rPr>
    </w:lvl>
    <w:lvl w:ilvl="6">
      <w:start w:val="0"/>
      <w:numFmt w:val="bullet"/>
      <w:lvlText w:val="•"/>
      <w:lvlJc w:val="left"/>
      <w:pPr>
        <w:ind w:left="5160" w:hanging="380"/>
      </w:pPr>
      <w:rPr>
        <w:rFonts w:hint="default"/>
        <w:lang w:val="zh-CN" w:eastAsia="zh-CN" w:bidi="zh-CN"/>
      </w:rPr>
    </w:lvl>
    <w:lvl w:ilvl="7">
      <w:start w:val="0"/>
      <w:numFmt w:val="bullet"/>
      <w:lvlText w:val="•"/>
      <w:lvlJc w:val="left"/>
      <w:pPr>
        <w:ind w:left="5940" w:hanging="380"/>
      </w:pPr>
      <w:rPr>
        <w:rFonts w:hint="default"/>
        <w:lang w:val="zh-CN" w:eastAsia="zh-CN" w:bidi="zh-CN"/>
      </w:rPr>
    </w:lvl>
    <w:lvl w:ilvl="8">
      <w:start w:val="0"/>
      <w:numFmt w:val="bullet"/>
      <w:lvlText w:val="•"/>
      <w:lvlJc w:val="left"/>
      <w:pPr>
        <w:ind w:left="6720" w:hanging="380"/>
      </w:pPr>
      <w:rPr>
        <w:rFonts w:hint="default"/>
        <w:lang w:val="zh-CN" w:eastAsia="zh-CN" w:bidi="zh-CN"/>
      </w:rPr>
    </w:lvl>
  </w:abstractNum>
  <w:abstractNum w:abstractNumId="2">
    <w:multiLevelType w:val="hybridMultilevel"/>
    <w:lvl w:ilvl="0">
      <w:start w:val="17"/>
      <w:numFmt w:val="decimal"/>
      <w:lvlText w:val="%1"/>
      <w:lvlJc w:val="left"/>
      <w:pPr>
        <w:ind w:left="480" w:hanging="380"/>
        <w:jc w:val="left"/>
      </w:pPr>
      <w:rPr>
        <w:rFonts w:hint="default" w:ascii="Arial" w:hAnsi="Arial" w:eastAsia="Arial" w:cs="Arial"/>
        <w:spacing w:val="-1"/>
        <w:w w:val="100"/>
        <w:sz w:val="26"/>
        <w:szCs w:val="26"/>
        <w:lang w:val="zh-CN" w:eastAsia="zh-CN" w:bidi="zh-CN"/>
      </w:rPr>
    </w:lvl>
    <w:lvl w:ilvl="1">
      <w:start w:val="0"/>
      <w:numFmt w:val="bullet"/>
      <w:lvlText w:val="•"/>
      <w:lvlJc w:val="left"/>
      <w:pPr>
        <w:ind w:left="1260" w:hanging="380"/>
      </w:pPr>
      <w:rPr>
        <w:rFonts w:hint="default"/>
        <w:lang w:val="zh-CN" w:eastAsia="zh-CN" w:bidi="zh-CN"/>
      </w:rPr>
    </w:lvl>
    <w:lvl w:ilvl="2">
      <w:start w:val="0"/>
      <w:numFmt w:val="bullet"/>
      <w:lvlText w:val="•"/>
      <w:lvlJc w:val="left"/>
      <w:pPr>
        <w:ind w:left="2040" w:hanging="380"/>
      </w:pPr>
      <w:rPr>
        <w:rFonts w:hint="default"/>
        <w:lang w:val="zh-CN" w:eastAsia="zh-CN" w:bidi="zh-CN"/>
      </w:rPr>
    </w:lvl>
    <w:lvl w:ilvl="3">
      <w:start w:val="0"/>
      <w:numFmt w:val="bullet"/>
      <w:lvlText w:val="•"/>
      <w:lvlJc w:val="left"/>
      <w:pPr>
        <w:ind w:left="2820" w:hanging="380"/>
      </w:pPr>
      <w:rPr>
        <w:rFonts w:hint="default"/>
        <w:lang w:val="zh-CN" w:eastAsia="zh-CN" w:bidi="zh-CN"/>
      </w:rPr>
    </w:lvl>
    <w:lvl w:ilvl="4">
      <w:start w:val="0"/>
      <w:numFmt w:val="bullet"/>
      <w:lvlText w:val="•"/>
      <w:lvlJc w:val="left"/>
      <w:pPr>
        <w:ind w:left="3600" w:hanging="380"/>
      </w:pPr>
      <w:rPr>
        <w:rFonts w:hint="default"/>
        <w:lang w:val="zh-CN" w:eastAsia="zh-CN" w:bidi="zh-CN"/>
      </w:rPr>
    </w:lvl>
    <w:lvl w:ilvl="5">
      <w:start w:val="0"/>
      <w:numFmt w:val="bullet"/>
      <w:lvlText w:val="•"/>
      <w:lvlJc w:val="left"/>
      <w:pPr>
        <w:ind w:left="4380" w:hanging="380"/>
      </w:pPr>
      <w:rPr>
        <w:rFonts w:hint="default"/>
        <w:lang w:val="zh-CN" w:eastAsia="zh-CN" w:bidi="zh-CN"/>
      </w:rPr>
    </w:lvl>
    <w:lvl w:ilvl="6">
      <w:start w:val="0"/>
      <w:numFmt w:val="bullet"/>
      <w:lvlText w:val="•"/>
      <w:lvlJc w:val="left"/>
      <w:pPr>
        <w:ind w:left="5160" w:hanging="380"/>
      </w:pPr>
      <w:rPr>
        <w:rFonts w:hint="default"/>
        <w:lang w:val="zh-CN" w:eastAsia="zh-CN" w:bidi="zh-CN"/>
      </w:rPr>
    </w:lvl>
    <w:lvl w:ilvl="7">
      <w:start w:val="0"/>
      <w:numFmt w:val="bullet"/>
      <w:lvlText w:val="•"/>
      <w:lvlJc w:val="left"/>
      <w:pPr>
        <w:ind w:left="5940" w:hanging="380"/>
      </w:pPr>
      <w:rPr>
        <w:rFonts w:hint="default"/>
        <w:lang w:val="zh-CN" w:eastAsia="zh-CN" w:bidi="zh-CN"/>
      </w:rPr>
    </w:lvl>
    <w:lvl w:ilvl="8">
      <w:start w:val="0"/>
      <w:numFmt w:val="bullet"/>
      <w:lvlText w:val="•"/>
      <w:lvlJc w:val="left"/>
      <w:pPr>
        <w:ind w:left="6720" w:hanging="380"/>
      </w:pPr>
      <w:rPr>
        <w:rFonts w:hint="default"/>
        <w:lang w:val="zh-CN" w:eastAsia="zh-CN" w:bidi="zh-CN"/>
      </w:rPr>
    </w:lvl>
  </w:abstractNum>
  <w:abstractNum w:abstractNumId="1">
    <w:multiLevelType w:val="hybridMultilevel"/>
    <w:lvl w:ilvl="0">
      <w:start w:val="3"/>
      <w:numFmt w:val="decimal"/>
      <w:lvlText w:val="%1."/>
      <w:lvlJc w:val="left"/>
      <w:pPr>
        <w:ind w:left="680" w:hanging="580"/>
        <w:jc w:val="left"/>
      </w:pPr>
      <w:rPr>
        <w:rFonts w:hint="default" w:ascii="Arial" w:hAnsi="Arial" w:eastAsia="Arial" w:cs="Arial"/>
        <w:spacing w:val="-1"/>
        <w:w w:val="100"/>
        <w:sz w:val="26"/>
        <w:szCs w:val="26"/>
        <w:lang w:val="zh-CN" w:eastAsia="zh-CN" w:bidi="zh-CN"/>
      </w:rPr>
    </w:lvl>
    <w:lvl w:ilvl="1">
      <w:start w:val="0"/>
      <w:numFmt w:val="bullet"/>
      <w:lvlText w:val="•"/>
      <w:lvlJc w:val="left"/>
      <w:pPr>
        <w:ind w:left="1426" w:hanging="580"/>
      </w:pPr>
      <w:rPr>
        <w:rFonts w:hint="default"/>
        <w:lang w:val="zh-CN" w:eastAsia="zh-CN" w:bidi="zh-CN"/>
      </w:rPr>
    </w:lvl>
    <w:lvl w:ilvl="2">
      <w:start w:val="0"/>
      <w:numFmt w:val="bullet"/>
      <w:lvlText w:val="•"/>
      <w:lvlJc w:val="left"/>
      <w:pPr>
        <w:ind w:left="2172" w:hanging="580"/>
      </w:pPr>
      <w:rPr>
        <w:rFonts w:hint="default"/>
        <w:lang w:val="zh-CN" w:eastAsia="zh-CN" w:bidi="zh-CN"/>
      </w:rPr>
    </w:lvl>
    <w:lvl w:ilvl="3">
      <w:start w:val="0"/>
      <w:numFmt w:val="bullet"/>
      <w:lvlText w:val="•"/>
      <w:lvlJc w:val="left"/>
      <w:pPr>
        <w:ind w:left="2918" w:hanging="580"/>
      </w:pPr>
      <w:rPr>
        <w:rFonts w:hint="default"/>
        <w:lang w:val="zh-CN" w:eastAsia="zh-CN" w:bidi="zh-CN"/>
      </w:rPr>
    </w:lvl>
    <w:lvl w:ilvl="4">
      <w:start w:val="0"/>
      <w:numFmt w:val="bullet"/>
      <w:lvlText w:val="•"/>
      <w:lvlJc w:val="left"/>
      <w:pPr>
        <w:ind w:left="3664" w:hanging="580"/>
      </w:pPr>
      <w:rPr>
        <w:rFonts w:hint="default"/>
        <w:lang w:val="zh-CN" w:eastAsia="zh-CN" w:bidi="zh-CN"/>
      </w:rPr>
    </w:lvl>
    <w:lvl w:ilvl="5">
      <w:start w:val="0"/>
      <w:numFmt w:val="bullet"/>
      <w:lvlText w:val="•"/>
      <w:lvlJc w:val="left"/>
      <w:pPr>
        <w:ind w:left="4410" w:hanging="580"/>
      </w:pPr>
      <w:rPr>
        <w:rFonts w:hint="default"/>
        <w:lang w:val="zh-CN" w:eastAsia="zh-CN" w:bidi="zh-CN"/>
      </w:rPr>
    </w:lvl>
    <w:lvl w:ilvl="6">
      <w:start w:val="0"/>
      <w:numFmt w:val="bullet"/>
      <w:lvlText w:val="•"/>
      <w:lvlJc w:val="left"/>
      <w:pPr>
        <w:ind w:left="5156" w:hanging="580"/>
      </w:pPr>
      <w:rPr>
        <w:rFonts w:hint="default"/>
        <w:lang w:val="zh-CN" w:eastAsia="zh-CN" w:bidi="zh-CN"/>
      </w:rPr>
    </w:lvl>
    <w:lvl w:ilvl="7">
      <w:start w:val="0"/>
      <w:numFmt w:val="bullet"/>
      <w:lvlText w:val="•"/>
      <w:lvlJc w:val="left"/>
      <w:pPr>
        <w:ind w:left="5902" w:hanging="580"/>
      </w:pPr>
      <w:rPr>
        <w:rFonts w:hint="default"/>
        <w:lang w:val="zh-CN" w:eastAsia="zh-CN" w:bidi="zh-CN"/>
      </w:rPr>
    </w:lvl>
    <w:lvl w:ilvl="8">
      <w:start w:val="0"/>
      <w:numFmt w:val="bullet"/>
      <w:lvlText w:val="•"/>
      <w:lvlJc w:val="left"/>
      <w:pPr>
        <w:ind w:left="6648" w:hanging="580"/>
      </w:pPr>
      <w:rPr>
        <w:rFonts w:hint="default"/>
        <w:lang w:val="zh-CN" w:eastAsia="zh-CN" w:bidi="zh-CN"/>
      </w:rPr>
    </w:lvl>
  </w:abstractNum>
  <w:abstractNum w:abstractNumId="0">
    <w:multiLevelType w:val="hybridMultilevel"/>
    <w:lvl w:ilvl="0">
      <w:start w:val="1"/>
      <w:numFmt w:val="decimal"/>
      <w:lvlText w:val="%1."/>
      <w:lvlJc w:val="left"/>
      <w:pPr>
        <w:ind w:left="680" w:hanging="580"/>
        <w:jc w:val="left"/>
      </w:pPr>
      <w:rPr>
        <w:rFonts w:hint="default" w:ascii="Arial" w:hAnsi="Arial" w:eastAsia="Arial" w:cs="Arial"/>
        <w:spacing w:val="-1"/>
        <w:w w:val="100"/>
        <w:sz w:val="26"/>
        <w:szCs w:val="26"/>
        <w:lang w:val="zh-CN" w:eastAsia="zh-CN" w:bidi="zh-CN"/>
      </w:rPr>
    </w:lvl>
    <w:lvl w:ilvl="1">
      <w:start w:val="0"/>
      <w:numFmt w:val="bullet"/>
      <w:lvlText w:val="•"/>
      <w:lvlJc w:val="left"/>
      <w:pPr>
        <w:ind w:left="1426" w:hanging="580"/>
      </w:pPr>
      <w:rPr>
        <w:rFonts w:hint="default"/>
        <w:lang w:val="zh-CN" w:eastAsia="zh-CN" w:bidi="zh-CN"/>
      </w:rPr>
    </w:lvl>
    <w:lvl w:ilvl="2">
      <w:start w:val="0"/>
      <w:numFmt w:val="bullet"/>
      <w:lvlText w:val="•"/>
      <w:lvlJc w:val="left"/>
      <w:pPr>
        <w:ind w:left="2172" w:hanging="580"/>
      </w:pPr>
      <w:rPr>
        <w:rFonts w:hint="default"/>
        <w:lang w:val="zh-CN" w:eastAsia="zh-CN" w:bidi="zh-CN"/>
      </w:rPr>
    </w:lvl>
    <w:lvl w:ilvl="3">
      <w:start w:val="0"/>
      <w:numFmt w:val="bullet"/>
      <w:lvlText w:val="•"/>
      <w:lvlJc w:val="left"/>
      <w:pPr>
        <w:ind w:left="2918" w:hanging="580"/>
      </w:pPr>
      <w:rPr>
        <w:rFonts w:hint="default"/>
        <w:lang w:val="zh-CN" w:eastAsia="zh-CN" w:bidi="zh-CN"/>
      </w:rPr>
    </w:lvl>
    <w:lvl w:ilvl="4">
      <w:start w:val="0"/>
      <w:numFmt w:val="bullet"/>
      <w:lvlText w:val="•"/>
      <w:lvlJc w:val="left"/>
      <w:pPr>
        <w:ind w:left="3664" w:hanging="580"/>
      </w:pPr>
      <w:rPr>
        <w:rFonts w:hint="default"/>
        <w:lang w:val="zh-CN" w:eastAsia="zh-CN" w:bidi="zh-CN"/>
      </w:rPr>
    </w:lvl>
    <w:lvl w:ilvl="5">
      <w:start w:val="0"/>
      <w:numFmt w:val="bullet"/>
      <w:lvlText w:val="•"/>
      <w:lvlJc w:val="left"/>
      <w:pPr>
        <w:ind w:left="4410" w:hanging="580"/>
      </w:pPr>
      <w:rPr>
        <w:rFonts w:hint="default"/>
        <w:lang w:val="zh-CN" w:eastAsia="zh-CN" w:bidi="zh-CN"/>
      </w:rPr>
    </w:lvl>
    <w:lvl w:ilvl="6">
      <w:start w:val="0"/>
      <w:numFmt w:val="bullet"/>
      <w:lvlText w:val="•"/>
      <w:lvlJc w:val="left"/>
      <w:pPr>
        <w:ind w:left="5156" w:hanging="580"/>
      </w:pPr>
      <w:rPr>
        <w:rFonts w:hint="default"/>
        <w:lang w:val="zh-CN" w:eastAsia="zh-CN" w:bidi="zh-CN"/>
      </w:rPr>
    </w:lvl>
    <w:lvl w:ilvl="7">
      <w:start w:val="0"/>
      <w:numFmt w:val="bullet"/>
      <w:lvlText w:val="•"/>
      <w:lvlJc w:val="left"/>
      <w:pPr>
        <w:ind w:left="5902" w:hanging="580"/>
      </w:pPr>
      <w:rPr>
        <w:rFonts w:hint="default"/>
        <w:lang w:val="zh-CN" w:eastAsia="zh-CN" w:bidi="zh-CN"/>
      </w:rPr>
    </w:lvl>
    <w:lvl w:ilvl="8">
      <w:start w:val="0"/>
      <w:numFmt w:val="bullet"/>
      <w:lvlText w:val="•"/>
      <w:lvlJc w:val="left"/>
      <w:pPr>
        <w:ind w:left="6648" w:hanging="580"/>
      </w:pPr>
      <w:rPr>
        <w:rFonts w:hint="default"/>
        <w:lang w:val="zh-CN" w:eastAsia="zh-CN" w:bidi="zh-CN"/>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6"/>
      <w:szCs w:val="26"/>
      <w:lang w:val="zh-CN" w:eastAsia="zh-CN" w:bidi="zh-CN"/>
    </w:rPr>
  </w:style>
  <w:style w:styleId="ListParagraph" w:type="paragraph">
    <w:name w:val="List Paragraph"/>
    <w:basedOn w:val="Normal"/>
    <w:uiPriority w:val="1"/>
    <w:qFormat/>
    <w:pPr>
      <w:ind w:left="680" w:hanging="58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2020-01-19T09:43:15Z</dcterms:created>
  <dcterms:modified xsi:type="dcterms:W3CDTF">2020-01-19T09:43:15Z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bingdian001.com</vt:lpwstr>
  </property>
  <property fmtid="{D5CDD505-2E9C-101B-9397-08002B2CF9AE}" pid="4" name="LastSaved">
    <vt:filetime>2020-01-18T00:00:00Z</vt:filetime>
  </property>
</Properties>
</file>