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240" w:lineRule="exact"/>
        <w:ind w:left="0" w:firstLine="0"/>
        <w:textAlignment w:val="baseline"/>
        <w:rPr>
          <w:rFonts w:hint="eastAsia" w:ascii="宋体" w:hAnsi="宋体" w:eastAsia="宋体" w:cs="宋体"/>
          <w:i w:val="0"/>
          <w:iCs w:val="0"/>
          <w:caps w:val="0"/>
          <w:color w:val="000000"/>
          <w:spacing w:val="0"/>
          <w:sz w:val="18"/>
          <w:szCs w:val="18"/>
        </w:rPr>
      </w:pPr>
      <w:bookmarkStart w:id="0" w:name="_GoBack"/>
      <w:r>
        <w:rPr>
          <w:rFonts w:hint="eastAsia" w:ascii="宋体" w:hAnsi="宋体" w:eastAsia="宋体" w:cs="宋体"/>
          <w:b/>
          <w:bCs/>
          <w:i w:val="0"/>
          <w:iCs w:val="0"/>
          <w:caps w:val="0"/>
          <w:color w:val="000000"/>
          <w:spacing w:val="0"/>
          <w:sz w:val="18"/>
          <w:szCs w:val="18"/>
        </w:rPr>
        <w:t>判断题</w:t>
      </w:r>
    </w:p>
    <w:bookmarkEnd w:id="0"/>
    <w:p>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240" w:lineRule="exact"/>
        <w:jc w:val="left"/>
        <w:textAlignment w:val="baseline"/>
        <w:rPr>
          <w:rFonts w:hint="eastAsia" w:ascii="宋体" w:hAnsi="宋体" w:eastAsia="宋体" w:cs="宋体"/>
          <w:sz w:val="18"/>
          <w:szCs w:val="18"/>
        </w:rPr>
      </w:pPr>
      <w:r>
        <w:rPr>
          <w:rFonts w:hint="eastAsia" w:ascii="宋体" w:hAnsi="宋体" w:eastAsia="宋体" w:cs="宋体"/>
          <w:i w:val="0"/>
          <w:iCs w:val="0"/>
          <w:caps w:val="0"/>
          <w:snapToGrid w:val="0"/>
          <w:color w:val="000000"/>
          <w:spacing w:val="0"/>
          <w:kern w:val="0"/>
          <w:sz w:val="18"/>
          <w:szCs w:val="18"/>
          <w:lang w:val="en-US" w:eastAsia="zh-CN" w:bidi="ar"/>
        </w:rPr>
        <w:t>1、】         早期银行业的产生与国际贸易有密切联系。（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2、存款扩张倍数大小与法定存款准备金率、提现率和超额准备金率之间呈正方向变动的关系。（）（</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3、存款类金融机构以发行金融工具的方式获得资金，并通过特殊方式运营资金。（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4、高利贷是前资本主义社会的信用形式，在资本主义生产方式确立与现代银行和信用体系建立之后，这一信用形式已不复存在。（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5、格雷欣法则是金银复本位制中不稳定的平行本位货币制度条件下出现的现象。（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6、国际投资所引起的资本流动需要依附于真实的商品或劳务交易。（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7、国家货币制度由一国政府或司法机构独立制定实施，其有效范围一般仅限于国内，是该国货币主权的体现。（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8、货币供给量是基础货币与存款乘数的乘积。（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9、金融创新在增强货币供给内生性的同时，会增强中央银行对货币供给的控制能力与效果。（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10、金融发展水平、稳定性程度、运作效率与金融机构的合理性之间是负相关关系。（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11、金融相关比率是各类金融工具在金融工具总额中所占的份额。（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12、经过银行承兑之后的票据信用风险相对较小，是一种信用等级较高的票据。（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13、经济全球化的先导和首要标志是市场一体化。（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14、控股公司制是指由某一个人或某一个集团购买若干家独立银行的多数股票，从而控制这些银行的组织形式。（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15、马克思认为，利息在本质上是利润的一部分。（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16、企业的债权信用规模影响着企业控制权的分布，由此影响着利润的分配。（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17、信用关系是现代经济中最普遍、最基本的经济关系。（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18、衍生金融工具包括期货、期权、互换、债券等各种标准化合约。（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19、远期汇率高于即期汇率称为升水；远期汇率低于即期汇率称为贴水。（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20、远期利率是隐含在给定即期利率中的从现在到未来某一时点的利率。（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21、在发达的金融市场上，场内交易在交易规模和品种上占有主导地位。（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22、在货币层次划分中，流动性越强，包括的货币范围越大。（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23、在利率体系中发挥指导性作用的利率是官定利率。（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24、证券流通市场上的组织方式主要分为场内交易和场外交易两种。（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25、资本业务属于中央银行的资产业务。（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正确选项1.×(V)</w:t>
      </w:r>
    </w:p>
    <w:p>
      <w:pPr>
        <w:pStyle w:val="2"/>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240" w:lineRule="exact"/>
        <w:ind w:left="0" w:firstLine="0"/>
        <w:textAlignment w:val="baseline"/>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单选题</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240" w:lineRule="exact"/>
        <w:jc w:val="left"/>
        <w:textAlignment w:val="baseline"/>
        <w:rPr>
          <w:rFonts w:hint="eastAsia" w:ascii="宋体" w:hAnsi="宋体" w:eastAsia="宋体" w:cs="宋体"/>
          <w:sz w:val="18"/>
          <w:szCs w:val="18"/>
        </w:rPr>
      </w:pPr>
      <w:r>
        <w:rPr>
          <w:rFonts w:hint="eastAsia" w:ascii="宋体" w:hAnsi="宋体" w:eastAsia="宋体" w:cs="宋体"/>
          <w:i w:val="0"/>
          <w:iCs w:val="0"/>
          <w:caps w:val="0"/>
          <w:snapToGrid w:val="0"/>
          <w:color w:val="000000"/>
          <w:spacing w:val="0"/>
          <w:kern w:val="0"/>
          <w:sz w:val="18"/>
          <w:szCs w:val="18"/>
          <w:lang w:val="en-US" w:eastAsia="zh-CN" w:bidi="ar"/>
        </w:rPr>
        <w:t>1、( )是指在某一时点上各经济主体所持有的货币余额。</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正确选项1.货币存量(V)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2、当发生“流动性陷阱”极端情况时，利率水平低到不能再低，就会出现（ ）的现象。</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正确选项1.投机性货币需求无限大(V)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3、弗里德曼货币需求函数中的收入是指（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正确选项1.持久性收入(V)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4、个人储蓄存款属于我国现阶段所公布的货币层次中的（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正确选项1.M2(V)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5、货币的时间价值是指同等金额的货币，其现在的价值（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正确选项1.大于未来价值(V)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6、金融创新增强了货币供给的（）。</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正确选项1.内生性(V)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7、金融市场是统一市场体系的重要组成部分，属于（ ）。它与消费品市场、生产资料市场、劳动力市场、技术市场、信息市场、房地产市场、旅游服务市场等各类市场相互联系，相互依存，共同形成统一市场的有机整体。</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正确选项1.要素市场(V)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8、居民部门的赤字可以通过( )方式弥补。</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正确选项1.消费信用(V)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9、美元与黄金挂钩，其他国家货币与美元挂钩是（ ）的特点。</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正确选项1.布雷顿森林体系(V)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10、生产过程从生产要素的组合到产品销售的全球化称之为（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正确选项1.生产一体化(V)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11、下列各项中不属于国库券市场特点的是（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正确选项1.高收益性(V)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12、由被监管者的道德风险引起的损失或成本称之为（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正确选项1.间接效率损失(V)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13、在多种利率并存的条件下，起决定作用的利率是（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正确选项1.基准利率(V)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14、在国际债券市场上，（ ）是典型的境外债券。</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正确选项1.欧洲债券(V)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15、在一般性货币政策工具中，效果较强烈的工具是（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正确选项1.法定存款准备金政策(V)</w:t>
      </w:r>
    </w:p>
    <w:p>
      <w:pPr>
        <w:pStyle w:val="2"/>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240" w:lineRule="exact"/>
        <w:ind w:left="0" w:firstLine="0"/>
        <w:textAlignment w:val="baseline"/>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多选题</w:t>
      </w:r>
    </w:p>
    <w:p>
      <w:pPr>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240" w:lineRule="exact"/>
        <w:jc w:val="left"/>
        <w:textAlignment w:val="baseline"/>
        <w:rPr>
          <w:rFonts w:hint="eastAsia" w:ascii="宋体" w:hAnsi="宋体" w:eastAsia="宋体" w:cs="宋体"/>
          <w:sz w:val="18"/>
          <w:szCs w:val="18"/>
        </w:rPr>
      </w:pPr>
      <w:r>
        <w:rPr>
          <w:rFonts w:hint="eastAsia" w:ascii="宋体" w:hAnsi="宋体" w:eastAsia="宋体" w:cs="宋体"/>
          <w:i w:val="0"/>
          <w:iCs w:val="0"/>
          <w:caps w:val="0"/>
          <w:snapToGrid w:val="0"/>
          <w:color w:val="000000"/>
          <w:spacing w:val="0"/>
          <w:kern w:val="0"/>
          <w:sz w:val="18"/>
          <w:szCs w:val="18"/>
          <w:lang w:val="en-US" w:eastAsia="zh-CN" w:bidi="ar"/>
        </w:rPr>
        <w:t>1、币材一般应具备（ ）的性质。</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正确选项1.价值较高(V)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正确选项2.易于分割(V)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正确选项3.易于保存(V)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正确选项4.便于携带(V)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2、国际资本流动包括（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正确选项1.长期资本流动(V)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正确选项2.短期资本流动(V)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3、货币政策框架主要包括货币政策的（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正确选项1.中介指标(V)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正确选项2.政策目标(V)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正确选项3.政策工具(V)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正确选项4.操作指标(V)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4、金融监管的构成体系包括（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正确选项1.金融监管的理论体系(V)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正确选项2.金融监管的法律体系(V)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正确选项3.金融监管的组织体系(V)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正确选项4.金融监管的内容体系(V)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5、凯恩斯货币需求理论将人们持有货币的动机归纳为（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正确选项1.交易动机(V)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正确选项2.预防动机(V)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正确选项3.投机动机(V)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6、若其他条件不变，一国货币贬值将引起该国（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正确选项1.出口增加(V)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正确选项2.进口减少(V)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7、商业银行具有（ ）功能。</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正确选项1.充当信用中介(V)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正确选项2.充当支付中介(V)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正确选项3.信用创造(V)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正确选项4.转移与管理风险(V)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正确选项5.降低交易成本(V)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8、通货膨胀的社会经济效应有（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正确选项1.强制储蓄信用(V)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正确选项2.收入分配效应(V)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正确选项3.资产结构调整效应(V)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正确选项4.恶性通胀下的危机效应(V)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9、银行金融机构的主要类型有（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正确选项1.商业银行(V)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正确选项2.中央银行(V)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正确选项3.信用合作社(V)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正确选项4.专业银行(V)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10、中央银行的资产业务包括（ ）。</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正确选项1.国外资产业务(V)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正确选项2.政府债券(V)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正确选项3.再贴现和再贷款(V)</w:t>
      </w:r>
      <w:r>
        <w:rPr>
          <w:rFonts w:hint="eastAsia" w:ascii="宋体" w:hAnsi="宋体" w:eastAsia="宋体" w:cs="宋体"/>
          <w:i w:val="0"/>
          <w:iCs w:val="0"/>
          <w:caps w:val="0"/>
          <w:snapToGrid w:val="0"/>
          <w:color w:val="000000"/>
          <w:spacing w:val="0"/>
          <w:kern w:val="0"/>
          <w:sz w:val="18"/>
          <w:szCs w:val="18"/>
          <w:lang w:val="en-US" w:eastAsia="zh-CN" w:bidi="ar"/>
        </w:rPr>
        <w:br w:type="textWrapping"/>
      </w:r>
      <w:r>
        <w:rPr>
          <w:rFonts w:hint="eastAsia" w:ascii="宋体" w:hAnsi="宋体" w:eastAsia="宋体" w:cs="宋体"/>
          <w:i w:val="0"/>
          <w:iCs w:val="0"/>
          <w:caps w:val="0"/>
          <w:snapToGrid w:val="0"/>
          <w:color w:val="000000"/>
          <w:spacing w:val="0"/>
          <w:kern w:val="0"/>
          <w:sz w:val="18"/>
          <w:szCs w:val="18"/>
          <w:lang w:val="en-US" w:eastAsia="zh-CN" w:bidi="ar"/>
        </w:rPr>
        <w:t>正确选项4.对金融机构的债权(V)</w:t>
      </w:r>
    </w:p>
    <w:p>
      <w:pPr>
        <w:keepNext w:val="0"/>
        <w:keepLines w:val="0"/>
        <w:pageBreakBefore w:val="0"/>
        <w:widowControl/>
        <w:kinsoku w:val="0"/>
        <w:wordWrap/>
        <w:overflowPunct/>
        <w:topLinePunct w:val="0"/>
        <w:autoSpaceDE w:val="0"/>
        <w:autoSpaceDN w:val="0"/>
        <w:bidi w:val="0"/>
        <w:adjustRightInd w:val="0"/>
        <w:snapToGrid w:val="0"/>
        <w:spacing w:beforeAutospacing="0" w:afterAutospacing="0" w:line="240" w:lineRule="exact"/>
        <w:textAlignment w:val="baseline"/>
        <w:rPr>
          <w:rFonts w:hint="eastAsia" w:ascii="宋体" w:hAnsi="宋体" w:eastAsia="宋体" w:cs="宋体"/>
          <w:sz w:val="18"/>
          <w:szCs w:val="18"/>
        </w:rPr>
      </w:pPr>
    </w:p>
    <w:sectPr>
      <w:headerReference r:id="rId5" w:type="default"/>
      <w:footerReference r:id="rId6" w:type="default"/>
      <w:pgSz w:w="11906" w:h="16838"/>
      <w:pgMar w:top="720" w:right="720" w:bottom="720" w:left="72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YTBiNTJkMmVmNGZmYWVmNzMyMzBhMzRlN2RmZjFlNTYifQ=="/>
  </w:docVars>
  <w:rsids>
    <w:rsidRoot w:val="00000000"/>
    <w:rsid w:val="317F1BEB"/>
    <w:rsid w:val="34F52A80"/>
    <w:rsid w:val="46C44060"/>
    <w:rsid w:val="63534C92"/>
    <w:rsid w:val="6D443C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2262</Words>
  <Characters>2516</Characters>
  <TotalTime>6</TotalTime>
  <ScaleCrop>false</ScaleCrop>
  <LinksUpToDate>false</LinksUpToDate>
  <CharactersWithSpaces>2573</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2022-12-08T11:43:00Z</dcterms:created>
  <dc:creator>admin</dc:creator>
  <cp:lastModifiedBy>戒不掉的咖啡</cp:lastModifiedBy>
  <dcterms:modified xsi:type="dcterms:W3CDTF">2022-12-08T03:53:50Z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2022-12-08T11:43:48Z</vt:filetime>
  </property>
  <property fmtid="{D5CDD505-2E9C-101B-9397-08002B2CF9AE}" pid="4" name="KSOProductBuildVer">
    <vt:lpwstr>2052-11.1.0.12763</vt:lpwstr>
  </property>
  <property fmtid="{D5CDD505-2E9C-101B-9397-08002B2CF9AE}" pid="5" name="ICV">
    <vt:lpwstr>93FDCD8A07AE42039E70499657F6743B</vt:lpwstr>
  </property>
</Properties>
</file>