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5"/>
          <w:w w:val="95"/>
        </w:rPr>
        <w:t>国家开放大学《会计学概论》形考任务 </w:t>
      </w:r>
      <w:r>
        <w:rPr>
          <w:w w:val="95"/>
        </w:rPr>
        <w:t>1-4</w:t>
      </w:r>
      <w:r>
        <w:rPr>
          <w:spacing w:val="19"/>
          <w:w w:val="95"/>
        </w:rPr>
        <w:t> 参考答案</w:t>
      </w:r>
    </w:p>
    <w:p>
      <w:pPr>
        <w:pStyle w:val="BodyText"/>
        <w:spacing w:before="0"/>
        <w:ind w:left="0"/>
        <w:rPr>
          <w:rFonts w:ascii="黑体"/>
          <w:sz w:val="30"/>
        </w:rPr>
      </w:pPr>
    </w:p>
    <w:p>
      <w:pPr>
        <w:spacing w:before="204"/>
        <w:ind w:left="914" w:right="1433" w:firstLine="0"/>
        <w:jc w:val="center"/>
        <w:rPr>
          <w:rFonts w:ascii="Calibri" w:eastAsia="Calibri"/>
          <w:b/>
          <w:sz w:val="24"/>
        </w:rPr>
      </w:pPr>
      <w:r>
        <w:rPr>
          <w:rFonts w:ascii="Microsoft JhengHei" w:eastAsia="Microsoft JhengHei" w:hint="eastAsia"/>
          <w:b/>
          <w:sz w:val="24"/>
        </w:rPr>
        <w:t>形考任务 </w:t>
      </w:r>
      <w:r>
        <w:rPr>
          <w:rFonts w:ascii="Calibri" w:eastAsia="Calibri"/>
          <w:b/>
          <w:sz w:val="24"/>
        </w:rPr>
        <w:t>1</w:t>
      </w:r>
    </w:p>
    <w:p>
      <w:pPr>
        <w:spacing w:before="27"/>
        <w:ind w:left="220" w:right="0" w:firstLine="0"/>
        <w:jc w:val="left"/>
        <w:rPr>
          <w:rFonts w:ascii="Microsoft JhengHei" w:eastAsia="Microsoft JhengHei" w:hint="eastAsia"/>
          <w:b/>
          <w:sz w:val="24"/>
        </w:rPr>
      </w:pPr>
      <w:r>
        <w:rPr>
          <w:rFonts w:ascii="Microsoft JhengHei" w:eastAsia="Microsoft JhengHei" w:hint="eastAsia"/>
          <w:b/>
          <w:sz w:val="24"/>
        </w:rPr>
        <w:t>一、单项选择题（</w:t>
      </w:r>
      <w:r>
        <w:rPr>
          <w:rFonts w:ascii="Calibri" w:eastAsia="Calibri"/>
          <w:b/>
          <w:sz w:val="24"/>
        </w:rPr>
        <w:t>30</w:t>
      </w:r>
      <w:r>
        <w:rPr>
          <w:rFonts w:ascii="Calibri" w:eastAsia="Calibri"/>
          <w:b/>
          <w:spacing w:val="5"/>
          <w:sz w:val="24"/>
        </w:rPr>
        <w:t> </w:t>
      </w:r>
      <w:r>
        <w:rPr>
          <w:rFonts w:ascii="Microsoft JhengHei" w:eastAsia="Microsoft JhengHei" w:hint="eastAsia"/>
          <w:b/>
          <w:sz w:val="24"/>
        </w:rPr>
        <w:t>分，每题 </w:t>
      </w:r>
      <w:r>
        <w:rPr>
          <w:rFonts w:ascii="Calibri" w:eastAsia="Calibri"/>
          <w:b/>
          <w:sz w:val="24"/>
        </w:rPr>
        <w:t>3</w:t>
      </w:r>
      <w:r>
        <w:rPr>
          <w:rFonts w:ascii="Calibri" w:eastAsia="Calibri"/>
          <w:b/>
          <w:spacing w:val="6"/>
          <w:sz w:val="24"/>
        </w:rPr>
        <w:t> </w:t>
      </w:r>
      <w:r>
        <w:rPr>
          <w:rFonts w:ascii="Microsoft JhengHei" w:eastAsia="Microsoft JhengHei" w:hint="eastAsia"/>
          <w:b/>
          <w:sz w:val="24"/>
        </w:rPr>
        <w:t>分）</w:t>
      </w:r>
    </w:p>
    <w:p>
      <w:pPr>
        <w:pStyle w:val="BodyText"/>
        <w:tabs>
          <w:tab w:pos="882" w:val="left" w:leader="none"/>
        </w:tabs>
        <w:spacing w:line="364" w:lineRule="auto" w:before="105"/>
        <w:ind w:right="739"/>
      </w:pPr>
      <w:r>
        <w:rPr>
          <w:rFonts w:ascii="Calibri" w:eastAsia="Calibri"/>
        </w:rPr>
        <w:t>1.</w:t>
      </w:r>
      <w:r>
        <w:rPr/>
        <w:t>（</w:t>
        <w:tab/>
      </w:r>
      <w:r>
        <w:rPr>
          <w:spacing w:val="-2"/>
        </w:rPr>
        <w:t>）假设是指会计主体的经营活动将按照现在的形式和目标持续不断经营下</w:t>
      </w:r>
      <w:r>
        <w:rPr/>
        <w:t>去，在可以预见的将来不会破产。</w:t>
      </w:r>
    </w:p>
    <w:p>
      <w:pPr>
        <w:pStyle w:val="ListParagraph"/>
        <w:numPr>
          <w:ilvl w:val="0"/>
          <w:numId w:val="1"/>
        </w:numPr>
        <w:tabs>
          <w:tab w:pos="1020" w:val="left" w:leader="none"/>
        </w:tabs>
        <w:spacing w:line="240" w:lineRule="auto" w:before="2" w:after="0"/>
        <w:ind w:left="1019" w:right="0" w:hanging="320"/>
        <w:jc w:val="left"/>
        <w:rPr>
          <w:rFonts w:ascii="Calibri" w:eastAsia="Calibri"/>
          <w:sz w:val="24"/>
        </w:rPr>
      </w:pPr>
      <w:r>
        <w:rPr>
          <w:sz w:val="24"/>
        </w:rPr>
        <w:t>货币计量</w:t>
      </w:r>
    </w:p>
    <w:p>
      <w:pPr>
        <w:pStyle w:val="ListParagraph"/>
        <w:numPr>
          <w:ilvl w:val="0"/>
          <w:numId w:val="1"/>
        </w:numPr>
        <w:tabs>
          <w:tab w:pos="1012" w:val="left" w:leader="none"/>
        </w:tabs>
        <w:spacing w:line="240" w:lineRule="auto" w:before="160" w:after="0"/>
        <w:ind w:left="1011" w:right="0" w:hanging="312"/>
        <w:jc w:val="left"/>
        <w:rPr>
          <w:rFonts w:ascii="Calibri" w:eastAsia="Calibri"/>
          <w:sz w:val="24"/>
        </w:rPr>
      </w:pPr>
      <w:r>
        <w:rPr>
          <w:sz w:val="24"/>
        </w:rPr>
        <w:t>会计主体</w:t>
      </w:r>
    </w:p>
    <w:p>
      <w:pPr>
        <w:pStyle w:val="ListParagraph"/>
        <w:numPr>
          <w:ilvl w:val="0"/>
          <w:numId w:val="1"/>
        </w:numPr>
        <w:tabs>
          <w:tab w:pos="1012" w:val="left" w:leader="none"/>
        </w:tabs>
        <w:spacing w:line="240" w:lineRule="auto" w:before="81" w:after="0"/>
        <w:ind w:left="1011" w:right="0" w:hanging="312"/>
        <w:jc w:val="left"/>
        <w:rPr>
          <w:rFonts w:ascii="Calibri" w:eastAsia="Calibri"/>
          <w:b/>
          <w:color w:val="FF0000"/>
          <w:sz w:val="24"/>
        </w:rPr>
      </w:pPr>
      <w:r>
        <w:rPr>
          <w:rFonts w:ascii="Microsoft JhengHei" w:eastAsia="Microsoft JhengHei" w:hint="eastAsia"/>
          <w:b/>
          <w:color w:val="FF0000"/>
          <w:sz w:val="24"/>
        </w:rPr>
        <w:t>持续经营</w:t>
      </w:r>
    </w:p>
    <w:p>
      <w:pPr>
        <w:pStyle w:val="ListParagraph"/>
        <w:numPr>
          <w:ilvl w:val="0"/>
          <w:numId w:val="1"/>
        </w:numPr>
        <w:tabs>
          <w:tab w:pos="1029" w:val="left" w:leader="none"/>
        </w:tabs>
        <w:spacing w:line="240" w:lineRule="auto" w:before="106" w:after="0"/>
        <w:ind w:left="1028" w:right="0" w:hanging="329"/>
        <w:jc w:val="left"/>
        <w:rPr>
          <w:rFonts w:ascii="Calibri" w:eastAsia="Calibri"/>
          <w:sz w:val="24"/>
        </w:rPr>
      </w:pPr>
      <w:r>
        <w:rPr>
          <w:sz w:val="24"/>
        </w:rPr>
        <w:t>会计分期</w:t>
      </w:r>
    </w:p>
    <w:p>
      <w:pPr>
        <w:pStyle w:val="ListParagraph"/>
        <w:numPr>
          <w:ilvl w:val="0"/>
          <w:numId w:val="2"/>
        </w:numPr>
        <w:tabs>
          <w:tab w:pos="404" w:val="left" w:leader="none"/>
          <w:tab w:pos="3522" w:val="left" w:leader="none"/>
        </w:tabs>
        <w:spacing w:line="240" w:lineRule="auto" w:before="161" w:after="0"/>
        <w:ind w:left="403" w:right="0" w:hanging="184"/>
        <w:jc w:val="left"/>
        <w:rPr>
          <w:sz w:val="24"/>
        </w:rPr>
      </w:pPr>
      <w:r>
        <w:rPr>
          <w:sz w:val="24"/>
        </w:rPr>
        <w:t>下列项目中属于负债的是（</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预收账款</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预付账款</w:t>
      </w:r>
    </w:p>
    <w:p>
      <w:pPr>
        <w:pStyle w:val="ListParagraph"/>
        <w:numPr>
          <w:ilvl w:val="1"/>
          <w:numId w:val="2"/>
        </w:numPr>
        <w:tabs>
          <w:tab w:pos="1009" w:val="left" w:leader="none"/>
        </w:tabs>
        <w:spacing w:line="240" w:lineRule="auto" w:before="160" w:after="0"/>
        <w:ind w:left="1008" w:right="0" w:hanging="309"/>
        <w:jc w:val="left"/>
        <w:rPr>
          <w:rFonts w:ascii="Calibri" w:eastAsia="Calibri"/>
          <w:sz w:val="24"/>
        </w:rPr>
      </w:pPr>
      <w:r>
        <w:rPr>
          <w:sz w:val="24"/>
        </w:rPr>
        <w:t>应收账款</w:t>
      </w:r>
    </w:p>
    <w:p>
      <w:pPr>
        <w:pStyle w:val="ListParagraph"/>
        <w:numPr>
          <w:ilvl w:val="1"/>
          <w:numId w:val="2"/>
        </w:numPr>
        <w:tabs>
          <w:tab w:pos="1029" w:val="left" w:leader="none"/>
        </w:tabs>
        <w:spacing w:line="240" w:lineRule="auto" w:before="161" w:after="0"/>
        <w:ind w:left="1028" w:right="0" w:hanging="329"/>
        <w:jc w:val="left"/>
        <w:rPr>
          <w:rFonts w:ascii="Calibri" w:eastAsia="Calibri"/>
          <w:sz w:val="24"/>
        </w:rPr>
      </w:pPr>
      <w:r>
        <w:rPr>
          <w:sz w:val="24"/>
        </w:rPr>
        <w:t>应收票据</w:t>
      </w:r>
    </w:p>
    <w:p>
      <w:pPr>
        <w:pStyle w:val="ListParagraph"/>
        <w:numPr>
          <w:ilvl w:val="0"/>
          <w:numId w:val="2"/>
        </w:numPr>
        <w:tabs>
          <w:tab w:pos="404" w:val="left" w:leader="none"/>
          <w:tab w:pos="5979" w:val="left" w:leader="none"/>
        </w:tabs>
        <w:spacing w:line="364" w:lineRule="auto" w:before="160" w:after="0"/>
        <w:ind w:left="220" w:right="739" w:firstLine="0"/>
        <w:jc w:val="left"/>
        <w:rPr>
          <w:sz w:val="24"/>
        </w:rPr>
      </w:pPr>
      <w:r>
        <w:rPr>
          <w:spacing w:val="-2"/>
          <w:sz w:val="24"/>
        </w:rPr>
        <w:t>企业应当按照</w:t>
      </w:r>
      <w:r>
        <w:rPr>
          <w:spacing w:val="-1"/>
          <w:sz w:val="24"/>
        </w:rPr>
        <w:t>交易或事项的实质和经济现实进行会计核算，不应当仅仅按照它</w:t>
      </w:r>
      <w:r>
        <w:rPr>
          <w:sz w:val="24"/>
        </w:rPr>
        <w:t>们的法律形式作为会计核算的依据，此表述体现了（</w:t>
        <w:tab/>
      </w:r>
      <w:r>
        <w:rPr>
          <w:spacing w:val="-120"/>
          <w:sz w:val="24"/>
        </w:rPr>
        <w:t>）</w:t>
      </w:r>
      <w:r>
        <w:rPr>
          <w:sz w:val="24"/>
        </w:rPr>
        <w:t>。</w:t>
      </w:r>
    </w:p>
    <w:p>
      <w:pPr>
        <w:pStyle w:val="ListParagraph"/>
        <w:numPr>
          <w:ilvl w:val="1"/>
          <w:numId w:val="2"/>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实质重于形式原则</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谨慎性原则</w:t>
      </w:r>
    </w:p>
    <w:p>
      <w:pPr>
        <w:pStyle w:val="ListParagraph"/>
        <w:numPr>
          <w:ilvl w:val="1"/>
          <w:numId w:val="2"/>
        </w:numPr>
        <w:tabs>
          <w:tab w:pos="1009" w:val="left" w:leader="none"/>
        </w:tabs>
        <w:spacing w:line="240" w:lineRule="auto" w:before="161" w:after="0"/>
        <w:ind w:left="1008" w:right="0" w:hanging="309"/>
        <w:jc w:val="left"/>
        <w:rPr>
          <w:rFonts w:ascii="Calibri" w:eastAsia="Calibri"/>
          <w:sz w:val="24"/>
        </w:rPr>
      </w:pPr>
      <w:r>
        <w:rPr>
          <w:sz w:val="24"/>
        </w:rPr>
        <w:t>可靠性原则</w:t>
      </w:r>
    </w:p>
    <w:p>
      <w:pPr>
        <w:pStyle w:val="ListParagraph"/>
        <w:numPr>
          <w:ilvl w:val="1"/>
          <w:numId w:val="2"/>
        </w:numPr>
        <w:tabs>
          <w:tab w:pos="1029" w:val="left" w:leader="none"/>
        </w:tabs>
        <w:spacing w:line="240" w:lineRule="auto" w:before="160" w:after="0"/>
        <w:ind w:left="1028" w:right="0" w:hanging="329"/>
        <w:jc w:val="left"/>
        <w:rPr>
          <w:rFonts w:ascii="Calibri" w:eastAsia="Calibri"/>
          <w:sz w:val="24"/>
        </w:rPr>
      </w:pPr>
      <w:r>
        <w:rPr>
          <w:sz w:val="24"/>
        </w:rPr>
        <w:t>一致性原则</w:t>
      </w:r>
    </w:p>
    <w:p>
      <w:pPr>
        <w:pStyle w:val="ListParagraph"/>
        <w:numPr>
          <w:ilvl w:val="0"/>
          <w:numId w:val="2"/>
        </w:numPr>
        <w:tabs>
          <w:tab w:pos="404" w:val="left" w:leader="none"/>
          <w:tab w:pos="2802" w:val="left" w:leader="none"/>
        </w:tabs>
        <w:spacing w:line="240" w:lineRule="auto" w:before="161" w:after="0"/>
        <w:ind w:left="403" w:right="0" w:hanging="184"/>
        <w:jc w:val="left"/>
        <w:rPr>
          <w:sz w:val="24"/>
        </w:rPr>
      </w:pPr>
      <w:r>
        <w:rPr>
          <w:sz w:val="24"/>
        </w:rPr>
        <w:t>以下表述错误的是（</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会计科目和账户是一个意思</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有借必有贷借贷必相等</w:t>
      </w:r>
    </w:p>
    <w:p>
      <w:pPr>
        <w:pStyle w:val="ListParagraph"/>
        <w:numPr>
          <w:ilvl w:val="1"/>
          <w:numId w:val="2"/>
        </w:numPr>
        <w:tabs>
          <w:tab w:pos="1009" w:val="left" w:leader="none"/>
        </w:tabs>
        <w:spacing w:line="240" w:lineRule="auto" w:before="161" w:after="0"/>
        <w:ind w:left="1008" w:right="0" w:hanging="309"/>
        <w:jc w:val="left"/>
        <w:rPr>
          <w:rFonts w:ascii="Calibri" w:eastAsia="Calibri"/>
          <w:sz w:val="24"/>
        </w:rPr>
      </w:pPr>
      <w:r>
        <w:rPr>
          <w:sz w:val="24"/>
        </w:rPr>
        <w:t>会计的职能是核算职能和监督职能</w:t>
      </w:r>
    </w:p>
    <w:p>
      <w:pPr>
        <w:pStyle w:val="ListParagraph"/>
        <w:numPr>
          <w:ilvl w:val="1"/>
          <w:numId w:val="2"/>
        </w:numPr>
        <w:tabs>
          <w:tab w:pos="1029" w:val="left" w:leader="none"/>
        </w:tabs>
        <w:spacing w:line="240" w:lineRule="auto" w:before="160" w:after="0"/>
        <w:ind w:left="1028" w:right="0" w:hanging="329"/>
        <w:jc w:val="left"/>
        <w:rPr>
          <w:rFonts w:ascii="Calibri" w:eastAsia="Calibri"/>
          <w:sz w:val="24"/>
        </w:rPr>
      </w:pPr>
      <w:r>
        <w:rPr>
          <w:sz w:val="24"/>
        </w:rPr>
        <w:t>一般存款账户不可以取现金</w:t>
      </w:r>
    </w:p>
    <w:p>
      <w:pPr>
        <w:pStyle w:val="ListParagraph"/>
        <w:numPr>
          <w:ilvl w:val="0"/>
          <w:numId w:val="2"/>
        </w:numPr>
        <w:tabs>
          <w:tab w:pos="409" w:val="left" w:leader="none"/>
          <w:tab w:pos="2619" w:val="left" w:leader="none"/>
        </w:tabs>
        <w:spacing w:line="364" w:lineRule="auto" w:before="161" w:after="0"/>
        <w:ind w:left="220" w:right="498" w:firstLine="0"/>
        <w:jc w:val="left"/>
        <w:rPr>
          <w:sz w:val="24"/>
        </w:rPr>
      </w:pPr>
      <w:r>
        <w:rPr>
          <w:sz w:val="24"/>
        </w:rPr>
        <w:t>各单位应定期对会计账簿记录的有关数字与库存实物、货币资金、有价证券、往来单位或者个人等进行相互核对，保证账证相符、账账相符、账实相符。对账工作每年至少进行（</w:t>
        <w:tab/>
      </w:r>
      <w:r>
        <w:rPr>
          <w:spacing w:val="-120"/>
          <w:sz w:val="24"/>
        </w:rPr>
        <w:t>）</w:t>
      </w:r>
      <w:r>
        <w:rPr>
          <w:sz w:val="24"/>
        </w:rPr>
        <w:t>。</w:t>
      </w:r>
    </w:p>
    <w:p>
      <w:pPr>
        <w:spacing w:after="0" w:line="364" w:lineRule="auto"/>
        <w:jc w:val="left"/>
        <w:rPr>
          <w:sz w:val="24"/>
        </w:rPr>
        <w:sectPr>
          <w:type w:val="continuous"/>
          <w:pgSz w:w="11910" w:h="16840"/>
          <w:pgMar w:top="1500" w:bottom="280" w:left="1580" w:right="1060"/>
        </w:sectPr>
      </w:pPr>
    </w:p>
    <w:p>
      <w:pPr>
        <w:pStyle w:val="ListParagraph"/>
        <w:numPr>
          <w:ilvl w:val="1"/>
          <w:numId w:val="2"/>
        </w:numPr>
        <w:tabs>
          <w:tab w:pos="1030" w:val="left" w:leader="none"/>
        </w:tabs>
        <w:spacing w:line="406"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一次</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两次</w:t>
      </w:r>
    </w:p>
    <w:p>
      <w:pPr>
        <w:pStyle w:val="ListParagraph"/>
        <w:numPr>
          <w:ilvl w:val="1"/>
          <w:numId w:val="2"/>
        </w:numPr>
        <w:tabs>
          <w:tab w:pos="1009" w:val="left" w:leader="none"/>
        </w:tabs>
        <w:spacing w:line="240" w:lineRule="auto" w:before="160" w:after="0"/>
        <w:ind w:left="1008" w:right="0" w:hanging="309"/>
        <w:jc w:val="left"/>
        <w:rPr>
          <w:rFonts w:ascii="Calibri" w:eastAsia="Calibri"/>
          <w:sz w:val="24"/>
        </w:rPr>
      </w:pPr>
      <w:r>
        <w:rPr>
          <w:sz w:val="24"/>
        </w:rPr>
        <w:t>三次</w:t>
      </w:r>
    </w:p>
    <w:p>
      <w:pPr>
        <w:pStyle w:val="ListParagraph"/>
        <w:numPr>
          <w:ilvl w:val="1"/>
          <w:numId w:val="2"/>
        </w:numPr>
        <w:tabs>
          <w:tab w:pos="1029" w:val="left" w:leader="none"/>
        </w:tabs>
        <w:spacing w:line="240" w:lineRule="auto" w:before="161" w:after="0"/>
        <w:ind w:left="1028" w:right="0" w:hanging="329"/>
        <w:jc w:val="left"/>
        <w:rPr>
          <w:rFonts w:ascii="Calibri" w:eastAsia="Calibri"/>
          <w:sz w:val="24"/>
        </w:rPr>
      </w:pPr>
      <w:r>
        <w:rPr>
          <w:sz w:val="24"/>
        </w:rPr>
        <w:t>四次</w:t>
      </w:r>
    </w:p>
    <w:p>
      <w:pPr>
        <w:pStyle w:val="ListParagraph"/>
        <w:numPr>
          <w:ilvl w:val="0"/>
          <w:numId w:val="2"/>
        </w:numPr>
        <w:tabs>
          <w:tab w:pos="404" w:val="left" w:leader="none"/>
          <w:tab w:pos="3042" w:val="left" w:leader="none"/>
        </w:tabs>
        <w:spacing w:line="240" w:lineRule="auto" w:before="160" w:after="0"/>
        <w:ind w:left="403" w:right="0" w:hanging="184"/>
        <w:jc w:val="left"/>
        <w:rPr>
          <w:sz w:val="24"/>
        </w:rPr>
      </w:pPr>
      <w:r>
        <w:rPr>
          <w:sz w:val="24"/>
        </w:rPr>
        <w:t>财务会计报表不包括（</w:t>
        <w:tab/>
      </w:r>
      <w:r>
        <w:rPr>
          <w:spacing w:val="-120"/>
          <w:sz w:val="24"/>
        </w:rPr>
        <w:t>）</w:t>
      </w:r>
      <w:r>
        <w:rPr>
          <w:sz w:val="24"/>
        </w:rPr>
        <w:t>。</w:t>
      </w:r>
    </w:p>
    <w:p>
      <w:pPr>
        <w:pStyle w:val="ListParagraph"/>
        <w:numPr>
          <w:ilvl w:val="1"/>
          <w:numId w:val="2"/>
        </w:numPr>
        <w:tabs>
          <w:tab w:pos="1020" w:val="left" w:leader="none"/>
        </w:tabs>
        <w:spacing w:line="240" w:lineRule="auto" w:before="161" w:after="0"/>
        <w:ind w:left="1019" w:right="0" w:hanging="320"/>
        <w:jc w:val="left"/>
        <w:rPr>
          <w:rFonts w:ascii="Calibri" w:eastAsia="Calibri"/>
          <w:sz w:val="24"/>
        </w:rPr>
      </w:pPr>
      <w:r>
        <w:rPr>
          <w:sz w:val="24"/>
        </w:rPr>
        <w:t>会计报表主表</w:t>
      </w:r>
    </w:p>
    <w:p>
      <w:pPr>
        <w:pStyle w:val="ListParagraph"/>
        <w:numPr>
          <w:ilvl w:val="1"/>
          <w:numId w:val="2"/>
        </w:numPr>
        <w:tabs>
          <w:tab w:pos="1012" w:val="left" w:leader="none"/>
        </w:tabs>
        <w:spacing w:line="240" w:lineRule="auto" w:before="160" w:after="0"/>
        <w:ind w:left="1011" w:right="0" w:hanging="312"/>
        <w:jc w:val="left"/>
        <w:rPr>
          <w:rFonts w:ascii="Calibri" w:eastAsia="Calibri"/>
          <w:sz w:val="24"/>
        </w:rPr>
      </w:pPr>
      <w:r>
        <w:rPr>
          <w:sz w:val="24"/>
        </w:rPr>
        <w:t>会计报表附表</w:t>
      </w:r>
    </w:p>
    <w:p>
      <w:pPr>
        <w:pStyle w:val="ListParagraph"/>
        <w:numPr>
          <w:ilvl w:val="1"/>
          <w:numId w:val="2"/>
        </w:numPr>
        <w:tabs>
          <w:tab w:pos="1009" w:val="left" w:leader="none"/>
        </w:tabs>
        <w:spacing w:line="240" w:lineRule="auto" w:before="161" w:after="0"/>
        <w:ind w:left="1008" w:right="0" w:hanging="309"/>
        <w:jc w:val="left"/>
        <w:rPr>
          <w:rFonts w:ascii="Calibri" w:eastAsia="Calibri"/>
          <w:sz w:val="24"/>
        </w:rPr>
      </w:pPr>
      <w:r>
        <w:rPr>
          <w:sz w:val="24"/>
        </w:rPr>
        <w:t>会计报表附注</w:t>
      </w:r>
    </w:p>
    <w:p>
      <w:pPr>
        <w:pStyle w:val="ListParagraph"/>
        <w:numPr>
          <w:ilvl w:val="1"/>
          <w:numId w:val="2"/>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财务情况说明书</w:t>
      </w:r>
    </w:p>
    <w:p>
      <w:pPr>
        <w:pStyle w:val="ListParagraph"/>
        <w:numPr>
          <w:ilvl w:val="0"/>
          <w:numId w:val="2"/>
        </w:numPr>
        <w:tabs>
          <w:tab w:pos="404" w:val="left" w:leader="none"/>
          <w:tab w:pos="4722" w:val="left" w:leader="none"/>
        </w:tabs>
        <w:spacing w:line="240" w:lineRule="auto" w:before="106" w:after="0"/>
        <w:ind w:left="403" w:right="0" w:hanging="184"/>
        <w:jc w:val="left"/>
        <w:rPr>
          <w:sz w:val="24"/>
        </w:rPr>
      </w:pPr>
      <w:r>
        <w:rPr>
          <w:sz w:val="24"/>
        </w:rPr>
        <w:t>我国目前在用的《企业会计准则》自（</w:t>
        <w:tab/>
        <w:t>）年起执行。</w:t>
      </w:r>
    </w:p>
    <w:p>
      <w:pPr>
        <w:spacing w:before="166"/>
        <w:ind w:left="700" w:right="0" w:firstLine="0"/>
        <w:jc w:val="left"/>
        <w:rPr>
          <w:rFonts w:ascii="Calibri"/>
          <w:b/>
          <w:sz w:val="24"/>
        </w:rPr>
      </w:pPr>
      <w:r>
        <w:rPr>
          <w:rFonts w:ascii="Calibri"/>
          <w:b/>
          <w:color w:val="FF0000"/>
          <w:sz w:val="24"/>
        </w:rPr>
        <w:t>A. 2007</w:t>
      </w:r>
    </w:p>
    <w:p>
      <w:pPr>
        <w:pStyle w:val="BodyText"/>
        <w:spacing w:before="175"/>
        <w:ind w:left="700"/>
        <w:rPr>
          <w:rFonts w:ascii="Calibri"/>
        </w:rPr>
      </w:pPr>
      <w:r>
        <w:rPr>
          <w:rFonts w:ascii="Calibri"/>
        </w:rPr>
        <w:t>B. 2006</w:t>
      </w:r>
    </w:p>
    <w:p>
      <w:pPr>
        <w:pStyle w:val="BodyText"/>
        <w:spacing w:before="175"/>
        <w:ind w:left="700"/>
        <w:rPr>
          <w:rFonts w:ascii="Calibri"/>
        </w:rPr>
      </w:pPr>
      <w:r>
        <w:rPr>
          <w:rFonts w:ascii="Calibri"/>
        </w:rPr>
        <w:t>C.</w:t>
      </w:r>
      <w:r>
        <w:rPr>
          <w:rFonts w:ascii="Calibri"/>
          <w:spacing w:val="-1"/>
        </w:rPr>
        <w:t> </w:t>
      </w:r>
      <w:r>
        <w:rPr>
          <w:rFonts w:ascii="Calibri"/>
        </w:rPr>
        <w:t>2008</w:t>
      </w:r>
    </w:p>
    <w:p>
      <w:pPr>
        <w:pStyle w:val="BodyText"/>
        <w:spacing w:before="175"/>
        <w:ind w:left="700"/>
        <w:rPr>
          <w:rFonts w:ascii="Calibri"/>
        </w:rPr>
      </w:pPr>
      <w:r>
        <w:rPr>
          <w:rFonts w:ascii="Calibri"/>
        </w:rPr>
        <w:t>D.</w:t>
      </w:r>
      <w:r>
        <w:rPr>
          <w:rFonts w:ascii="Calibri"/>
          <w:spacing w:val="-1"/>
        </w:rPr>
        <w:t> </w:t>
      </w:r>
      <w:r>
        <w:rPr>
          <w:rFonts w:ascii="Calibri"/>
        </w:rPr>
        <w:t>2009</w:t>
      </w:r>
    </w:p>
    <w:p>
      <w:pPr>
        <w:pStyle w:val="ListParagraph"/>
        <w:numPr>
          <w:ilvl w:val="0"/>
          <w:numId w:val="2"/>
        </w:numPr>
        <w:tabs>
          <w:tab w:pos="404" w:val="left" w:leader="none"/>
          <w:tab w:pos="4002" w:val="left" w:leader="none"/>
        </w:tabs>
        <w:spacing w:line="240" w:lineRule="auto" w:before="169" w:after="0"/>
        <w:ind w:left="403" w:right="0" w:hanging="184"/>
        <w:jc w:val="left"/>
        <w:rPr>
          <w:sz w:val="24"/>
        </w:rPr>
      </w:pPr>
      <w:r>
        <w:rPr>
          <w:sz w:val="24"/>
        </w:rPr>
        <w:t>利润是企业在一定会计期间的（</w:t>
        <w:tab/>
      </w:r>
      <w:r>
        <w:rPr>
          <w:spacing w:val="-120"/>
          <w:sz w:val="24"/>
        </w:rPr>
        <w:t>）</w:t>
      </w:r>
      <w:r>
        <w:rPr>
          <w:sz w:val="24"/>
        </w:rPr>
        <w:t>。</w:t>
      </w:r>
    </w:p>
    <w:p>
      <w:pPr>
        <w:pStyle w:val="ListParagraph"/>
        <w:numPr>
          <w:ilvl w:val="1"/>
          <w:numId w:val="2"/>
        </w:numPr>
        <w:tabs>
          <w:tab w:pos="1020" w:val="left" w:leader="none"/>
        </w:tabs>
        <w:spacing w:line="240" w:lineRule="auto" w:before="161" w:after="0"/>
        <w:ind w:left="1019" w:right="0" w:hanging="320"/>
        <w:jc w:val="left"/>
        <w:rPr>
          <w:rFonts w:ascii="Calibri" w:eastAsia="Calibri"/>
          <w:sz w:val="24"/>
        </w:rPr>
      </w:pPr>
      <w:r>
        <w:rPr>
          <w:sz w:val="24"/>
        </w:rPr>
        <w:t>经营收入</w:t>
      </w:r>
    </w:p>
    <w:p>
      <w:pPr>
        <w:pStyle w:val="ListParagraph"/>
        <w:numPr>
          <w:ilvl w:val="1"/>
          <w:numId w:val="2"/>
        </w:numPr>
        <w:tabs>
          <w:tab w:pos="1019" w:val="left" w:leader="none"/>
        </w:tabs>
        <w:spacing w:line="240" w:lineRule="auto" w:before="81" w:after="0"/>
        <w:ind w:left="1018" w:right="0" w:hanging="319"/>
        <w:jc w:val="left"/>
        <w:rPr>
          <w:rFonts w:ascii="Calibri" w:eastAsia="Calibri"/>
          <w:b/>
          <w:color w:val="FF0000"/>
          <w:sz w:val="24"/>
        </w:rPr>
      </w:pPr>
      <w:r>
        <w:rPr>
          <w:rFonts w:ascii="Microsoft JhengHei" w:eastAsia="Microsoft JhengHei" w:hint="eastAsia"/>
          <w:b/>
          <w:color w:val="FF0000"/>
          <w:sz w:val="24"/>
        </w:rPr>
        <w:t>经营成果</w:t>
      </w:r>
    </w:p>
    <w:p>
      <w:pPr>
        <w:pStyle w:val="ListParagraph"/>
        <w:numPr>
          <w:ilvl w:val="1"/>
          <w:numId w:val="2"/>
        </w:numPr>
        <w:tabs>
          <w:tab w:pos="1009" w:val="left" w:leader="none"/>
        </w:tabs>
        <w:spacing w:line="240" w:lineRule="auto" w:before="106" w:after="0"/>
        <w:ind w:left="1008" w:right="0" w:hanging="309"/>
        <w:jc w:val="left"/>
        <w:rPr>
          <w:rFonts w:ascii="Calibri" w:eastAsia="Calibri"/>
          <w:sz w:val="24"/>
        </w:rPr>
      </w:pPr>
      <w:r>
        <w:rPr>
          <w:sz w:val="24"/>
        </w:rPr>
        <w:t>营业利润</w:t>
      </w:r>
    </w:p>
    <w:p>
      <w:pPr>
        <w:pStyle w:val="ListParagraph"/>
        <w:numPr>
          <w:ilvl w:val="1"/>
          <w:numId w:val="2"/>
        </w:numPr>
        <w:tabs>
          <w:tab w:pos="1029" w:val="left" w:leader="none"/>
        </w:tabs>
        <w:spacing w:line="240" w:lineRule="auto" w:before="161" w:after="0"/>
        <w:ind w:left="1028" w:right="0" w:hanging="329"/>
        <w:jc w:val="left"/>
        <w:rPr>
          <w:rFonts w:ascii="Calibri" w:eastAsia="Calibri"/>
          <w:sz w:val="24"/>
        </w:rPr>
      </w:pPr>
      <w:r>
        <w:rPr>
          <w:sz w:val="24"/>
        </w:rPr>
        <w:t>利润总额</w:t>
      </w:r>
    </w:p>
    <w:p>
      <w:pPr>
        <w:pStyle w:val="ListParagraph"/>
        <w:numPr>
          <w:ilvl w:val="0"/>
          <w:numId w:val="2"/>
        </w:numPr>
        <w:tabs>
          <w:tab w:pos="404" w:val="left" w:leader="none"/>
          <w:tab w:pos="6858" w:val="left" w:leader="none"/>
        </w:tabs>
        <w:spacing w:line="364" w:lineRule="auto" w:before="160" w:after="0"/>
        <w:ind w:left="220" w:right="737" w:firstLine="0"/>
        <w:jc w:val="left"/>
        <w:rPr>
          <w:sz w:val="24"/>
        </w:rPr>
      </w:pPr>
      <w:r>
        <w:rPr>
          <w:sz w:val="24"/>
        </w:rPr>
        <w:t>复式记账法对每一笔经济业务都要以相等的金额，同时在（</w:t>
        <w:tab/>
      </w:r>
      <w:r>
        <w:rPr>
          <w:spacing w:val="-2"/>
          <w:sz w:val="24"/>
        </w:rPr>
        <w:t>）相互联系的账</w:t>
      </w:r>
      <w:r>
        <w:rPr>
          <w:sz w:val="24"/>
        </w:rPr>
        <w:t>户中进行登记。</w:t>
      </w:r>
    </w:p>
    <w:p>
      <w:pPr>
        <w:pStyle w:val="ListParagraph"/>
        <w:numPr>
          <w:ilvl w:val="1"/>
          <w:numId w:val="2"/>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两个或两个以上</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一个或两个</w:t>
      </w:r>
    </w:p>
    <w:p>
      <w:pPr>
        <w:pStyle w:val="ListParagraph"/>
        <w:numPr>
          <w:ilvl w:val="1"/>
          <w:numId w:val="2"/>
        </w:numPr>
        <w:tabs>
          <w:tab w:pos="1009" w:val="left" w:leader="none"/>
        </w:tabs>
        <w:spacing w:line="240" w:lineRule="auto" w:before="160" w:after="0"/>
        <w:ind w:left="1008" w:right="0" w:hanging="309"/>
        <w:jc w:val="left"/>
        <w:rPr>
          <w:rFonts w:ascii="Calibri" w:eastAsia="Calibri"/>
          <w:sz w:val="24"/>
        </w:rPr>
      </w:pPr>
      <w:r>
        <w:rPr>
          <w:sz w:val="24"/>
        </w:rPr>
        <w:t>一个</w:t>
      </w:r>
    </w:p>
    <w:p>
      <w:pPr>
        <w:pStyle w:val="ListParagraph"/>
        <w:numPr>
          <w:ilvl w:val="1"/>
          <w:numId w:val="2"/>
        </w:numPr>
        <w:tabs>
          <w:tab w:pos="1029" w:val="left" w:leader="none"/>
        </w:tabs>
        <w:spacing w:line="240" w:lineRule="auto" w:before="161" w:after="0"/>
        <w:ind w:left="1028" w:right="0" w:hanging="329"/>
        <w:jc w:val="left"/>
        <w:rPr>
          <w:rFonts w:ascii="Calibri" w:eastAsia="Calibri"/>
          <w:sz w:val="24"/>
        </w:rPr>
      </w:pPr>
      <w:r>
        <w:rPr>
          <w:sz w:val="24"/>
        </w:rPr>
        <w:t>两个</w:t>
      </w:r>
    </w:p>
    <w:p>
      <w:pPr>
        <w:pStyle w:val="ListParagraph"/>
        <w:numPr>
          <w:ilvl w:val="0"/>
          <w:numId w:val="2"/>
        </w:numPr>
        <w:tabs>
          <w:tab w:pos="527" w:val="left" w:leader="none"/>
        </w:tabs>
        <w:spacing w:line="364" w:lineRule="auto" w:before="160" w:after="0"/>
        <w:ind w:left="220" w:right="738" w:firstLine="0"/>
        <w:jc w:val="left"/>
        <w:rPr>
          <w:sz w:val="24"/>
        </w:rPr>
      </w:pPr>
      <w:r>
        <w:rPr>
          <w:sz w:val="24"/>
        </w:rPr>
        <w:t>会计科目是指按照经济业务的内容和经济管理的要求对（</w:t>
      </w:r>
      <w:r>
        <w:rPr>
          <w:spacing w:val="60"/>
          <w:sz w:val="24"/>
        </w:rPr>
        <w:t> </w:t>
      </w:r>
      <w:r>
        <w:rPr>
          <w:sz w:val="24"/>
        </w:rPr>
        <w:t>）的具体内容进行再分类而划分的下一级细分类别。</w:t>
      </w:r>
    </w:p>
    <w:p>
      <w:pPr>
        <w:pStyle w:val="ListParagraph"/>
        <w:numPr>
          <w:ilvl w:val="1"/>
          <w:numId w:val="2"/>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会计要素</w:t>
      </w:r>
    </w:p>
    <w:p>
      <w:pPr>
        <w:pStyle w:val="ListParagraph"/>
        <w:numPr>
          <w:ilvl w:val="1"/>
          <w:numId w:val="2"/>
        </w:numPr>
        <w:tabs>
          <w:tab w:pos="1012" w:val="left" w:leader="none"/>
        </w:tabs>
        <w:spacing w:line="240" w:lineRule="auto" w:before="106" w:after="0"/>
        <w:ind w:left="1011" w:right="0" w:hanging="312"/>
        <w:jc w:val="left"/>
        <w:rPr>
          <w:rFonts w:ascii="Calibri" w:eastAsia="Calibri"/>
          <w:sz w:val="24"/>
        </w:rPr>
      </w:pPr>
      <w:r>
        <w:rPr>
          <w:sz w:val="24"/>
        </w:rPr>
        <w:t>会计分录</w:t>
      </w:r>
    </w:p>
    <w:p>
      <w:pPr>
        <w:spacing w:after="0" w:line="240" w:lineRule="auto"/>
        <w:jc w:val="left"/>
        <w:rPr>
          <w:rFonts w:ascii="Calibri" w:eastAsia="Calibri"/>
          <w:sz w:val="24"/>
        </w:rPr>
        <w:sectPr>
          <w:pgSz w:w="11910" w:h="16840"/>
          <w:pgMar w:top="1460" w:bottom="280" w:left="1580" w:right="1060"/>
        </w:sectPr>
      </w:pPr>
    </w:p>
    <w:p>
      <w:pPr>
        <w:pStyle w:val="ListParagraph"/>
        <w:numPr>
          <w:ilvl w:val="1"/>
          <w:numId w:val="2"/>
        </w:numPr>
        <w:tabs>
          <w:tab w:pos="1009" w:val="left" w:leader="none"/>
        </w:tabs>
        <w:spacing w:line="240" w:lineRule="auto" w:before="44" w:after="0"/>
        <w:ind w:left="1008" w:right="0" w:hanging="309"/>
        <w:jc w:val="left"/>
        <w:rPr>
          <w:rFonts w:ascii="Calibri" w:eastAsia="Calibri"/>
          <w:sz w:val="24"/>
        </w:rPr>
      </w:pPr>
      <w:r>
        <w:rPr>
          <w:sz w:val="24"/>
        </w:rPr>
        <w:t>会计对象</w:t>
      </w:r>
    </w:p>
    <w:p>
      <w:pPr>
        <w:pStyle w:val="ListParagraph"/>
        <w:numPr>
          <w:ilvl w:val="1"/>
          <w:numId w:val="2"/>
        </w:numPr>
        <w:tabs>
          <w:tab w:pos="1029" w:val="left" w:leader="none"/>
        </w:tabs>
        <w:spacing w:line="240" w:lineRule="auto" w:before="160" w:after="0"/>
        <w:ind w:left="1028" w:right="0" w:hanging="329"/>
        <w:jc w:val="left"/>
        <w:rPr>
          <w:rFonts w:ascii="Calibri" w:eastAsia="Calibri"/>
          <w:sz w:val="24"/>
        </w:rPr>
      </w:pPr>
      <w:r>
        <w:rPr>
          <w:sz w:val="24"/>
        </w:rPr>
        <w:t>会计账户</w:t>
      </w:r>
    </w:p>
    <w:p>
      <w:pPr>
        <w:spacing w:before="82"/>
        <w:ind w:left="220" w:right="0" w:firstLine="0"/>
        <w:jc w:val="left"/>
        <w:rPr>
          <w:rFonts w:ascii="Microsoft JhengHei" w:eastAsia="Microsoft JhengHei" w:hint="eastAsia"/>
          <w:b/>
          <w:sz w:val="24"/>
        </w:rPr>
      </w:pPr>
      <w:r>
        <w:rPr>
          <w:rFonts w:ascii="Microsoft JhengHei" w:eastAsia="Microsoft JhengHei" w:hint="eastAsia"/>
          <w:b/>
          <w:sz w:val="24"/>
        </w:rPr>
        <w:t>二、多项选择题（</w:t>
      </w:r>
      <w:r>
        <w:rPr>
          <w:rFonts w:ascii="Microsoft JhengHei" w:eastAsia="Microsoft JhengHei" w:hint="eastAsia"/>
          <w:b/>
          <w:spacing w:val="61"/>
          <w:sz w:val="24"/>
        </w:rPr>
        <w:t> </w:t>
      </w:r>
      <w:r>
        <w:rPr>
          <w:rFonts w:ascii="Calibri" w:eastAsia="Calibri"/>
          <w:b/>
          <w:sz w:val="24"/>
        </w:rPr>
        <w:t>40</w:t>
      </w:r>
      <w:r>
        <w:rPr>
          <w:rFonts w:ascii="Calibri" w:eastAsia="Calibri"/>
          <w:b/>
          <w:spacing w:val="5"/>
          <w:sz w:val="24"/>
        </w:rPr>
        <w:t> </w:t>
      </w:r>
      <w:r>
        <w:rPr>
          <w:rFonts w:ascii="Microsoft JhengHei" w:eastAsia="Microsoft JhengHei" w:hint="eastAsia"/>
          <w:b/>
          <w:sz w:val="24"/>
        </w:rPr>
        <w:t>分，每题 </w:t>
      </w:r>
      <w:r>
        <w:rPr>
          <w:rFonts w:ascii="Calibri" w:eastAsia="Calibri"/>
          <w:b/>
          <w:sz w:val="24"/>
        </w:rPr>
        <w:t>4</w:t>
      </w:r>
      <w:r>
        <w:rPr>
          <w:rFonts w:ascii="Calibri" w:eastAsia="Calibri"/>
          <w:b/>
          <w:spacing w:val="5"/>
          <w:sz w:val="24"/>
        </w:rPr>
        <w:t> </w:t>
      </w:r>
      <w:r>
        <w:rPr>
          <w:rFonts w:ascii="Microsoft JhengHei" w:eastAsia="Microsoft JhengHei" w:hint="eastAsia"/>
          <w:b/>
          <w:sz w:val="24"/>
        </w:rPr>
        <w:t>分）</w:t>
      </w:r>
    </w:p>
    <w:p>
      <w:pPr>
        <w:pStyle w:val="ListParagraph"/>
        <w:numPr>
          <w:ilvl w:val="0"/>
          <w:numId w:val="2"/>
        </w:numPr>
        <w:tabs>
          <w:tab w:pos="525" w:val="left" w:leader="none"/>
          <w:tab w:pos="1963" w:val="left" w:leader="none"/>
        </w:tabs>
        <w:spacing w:line="240" w:lineRule="auto" w:before="105" w:after="0"/>
        <w:ind w:left="524" w:right="0" w:hanging="305"/>
        <w:jc w:val="left"/>
        <w:rPr>
          <w:sz w:val="24"/>
        </w:rPr>
      </w:pPr>
      <w:r>
        <w:rPr>
          <w:sz w:val="24"/>
        </w:rPr>
        <w:t>资产是指（</w:t>
        <w:tab/>
      </w:r>
      <w:r>
        <w:rPr>
          <w:spacing w:val="-120"/>
          <w:sz w:val="24"/>
        </w:rPr>
        <w:t>）</w:t>
      </w:r>
      <w:r>
        <w:rPr>
          <w:sz w:val="24"/>
        </w:rPr>
        <w:t>。</w:t>
      </w:r>
    </w:p>
    <w:p>
      <w:pPr>
        <w:pStyle w:val="ListParagraph"/>
        <w:numPr>
          <w:ilvl w:val="1"/>
          <w:numId w:val="2"/>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由过去的交易或事项所形成的现实资产</w:t>
      </w:r>
    </w:p>
    <w:p>
      <w:pPr>
        <w:pStyle w:val="ListParagraph"/>
        <w:numPr>
          <w:ilvl w:val="1"/>
          <w:numId w:val="2"/>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企业拥有或者控制的经济资源</w:t>
      </w:r>
    </w:p>
    <w:p>
      <w:pPr>
        <w:pStyle w:val="ListParagraph"/>
        <w:numPr>
          <w:ilvl w:val="1"/>
          <w:numId w:val="2"/>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预期会给企业带来未来经济利益的资源</w:t>
      </w:r>
    </w:p>
    <w:p>
      <w:pPr>
        <w:pStyle w:val="ListParagraph"/>
        <w:numPr>
          <w:ilvl w:val="1"/>
          <w:numId w:val="2"/>
        </w:numPr>
        <w:tabs>
          <w:tab w:pos="1029" w:val="left" w:leader="none"/>
        </w:tabs>
        <w:spacing w:line="240" w:lineRule="auto" w:before="106" w:after="0"/>
        <w:ind w:left="1028" w:right="0" w:hanging="329"/>
        <w:jc w:val="left"/>
        <w:rPr>
          <w:rFonts w:ascii="Calibri" w:eastAsia="Calibri"/>
          <w:sz w:val="24"/>
        </w:rPr>
      </w:pPr>
      <w:r>
        <w:rPr>
          <w:sz w:val="24"/>
        </w:rPr>
        <w:t>企业的经济资源</w:t>
      </w:r>
    </w:p>
    <w:p>
      <w:pPr>
        <w:pStyle w:val="ListParagraph"/>
        <w:numPr>
          <w:ilvl w:val="0"/>
          <w:numId w:val="2"/>
        </w:numPr>
        <w:tabs>
          <w:tab w:pos="525" w:val="left" w:leader="none"/>
          <w:tab w:pos="4603" w:val="left" w:leader="none"/>
        </w:tabs>
        <w:spacing w:line="240" w:lineRule="auto" w:before="161" w:after="0"/>
        <w:ind w:left="524" w:right="0" w:hanging="305"/>
        <w:jc w:val="left"/>
        <w:rPr>
          <w:sz w:val="24"/>
        </w:rPr>
      </w:pPr>
      <w:r>
        <w:rPr>
          <w:sz w:val="24"/>
        </w:rPr>
        <w:t>记账凭证必须具有下列基本内容：（</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记账凭证名称和填制单位的名称</w:t>
      </w:r>
    </w:p>
    <w:p>
      <w:pPr>
        <w:pStyle w:val="ListParagraph"/>
        <w:numPr>
          <w:ilvl w:val="1"/>
          <w:numId w:val="2"/>
        </w:numPr>
        <w:tabs>
          <w:tab w:pos="1020" w:val="left" w:leader="none"/>
        </w:tabs>
        <w:spacing w:line="254" w:lineRule="auto" w:before="26" w:after="0"/>
        <w:ind w:left="220" w:right="739" w:firstLine="480"/>
        <w:jc w:val="left"/>
        <w:rPr>
          <w:rFonts w:ascii="Calibri" w:eastAsia="Calibri"/>
          <w:b/>
          <w:color w:val="FF0000"/>
          <w:sz w:val="24"/>
        </w:rPr>
      </w:pPr>
      <w:r>
        <w:rPr>
          <w:rFonts w:ascii="Microsoft JhengHei" w:eastAsia="Microsoft JhengHei" w:hint="eastAsia"/>
          <w:b/>
          <w:color w:val="FF0000"/>
          <w:sz w:val="24"/>
        </w:rPr>
        <w:t>制证、复核、记账、会计主管等有关人员的签章，收付款凭证还要有出纳人员的签章</w:t>
      </w:r>
    </w:p>
    <w:p>
      <w:pPr>
        <w:pStyle w:val="ListParagraph"/>
        <w:numPr>
          <w:ilvl w:val="1"/>
          <w:numId w:val="2"/>
        </w:numPr>
        <w:tabs>
          <w:tab w:pos="1012" w:val="left" w:leader="none"/>
        </w:tabs>
        <w:spacing w:line="240" w:lineRule="auto" w:before="1" w:after="0"/>
        <w:ind w:left="1011" w:right="0" w:hanging="312"/>
        <w:jc w:val="left"/>
        <w:rPr>
          <w:rFonts w:ascii="Calibri" w:eastAsia="Calibri"/>
          <w:b/>
          <w:color w:val="FF0000"/>
          <w:sz w:val="24"/>
        </w:rPr>
      </w:pPr>
      <w:r>
        <w:rPr>
          <w:rFonts w:ascii="Microsoft JhengHei" w:eastAsia="Microsoft JhengHei" w:hint="eastAsia"/>
          <w:b/>
          <w:color w:val="FF0000"/>
          <w:sz w:val="24"/>
        </w:rPr>
        <w:t>凭证的填制日期及编号；所附原始凭证张数</w:t>
      </w:r>
    </w:p>
    <w:p>
      <w:pPr>
        <w:pStyle w:val="ListParagraph"/>
        <w:numPr>
          <w:ilvl w:val="1"/>
          <w:numId w:val="2"/>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经济业务的内容摘要；借贷账户名称及金额</w:t>
      </w:r>
    </w:p>
    <w:p>
      <w:pPr>
        <w:pStyle w:val="ListParagraph"/>
        <w:numPr>
          <w:ilvl w:val="0"/>
          <w:numId w:val="2"/>
        </w:numPr>
        <w:tabs>
          <w:tab w:pos="525" w:val="left" w:leader="none"/>
          <w:tab w:pos="3827" w:val="left" w:leader="none"/>
        </w:tabs>
        <w:spacing w:line="240" w:lineRule="auto" w:before="105" w:after="0"/>
        <w:ind w:left="524" w:right="0" w:hanging="305"/>
        <w:jc w:val="left"/>
        <w:rPr>
          <w:sz w:val="24"/>
        </w:rPr>
      </w:pPr>
      <w:r>
        <w:rPr>
          <w:sz w:val="24"/>
        </w:rPr>
        <w:t>会计核算的内容主要包括</w:t>
      </w:r>
      <w:r>
        <w:rPr>
          <w:rFonts w:ascii="Calibri" w:eastAsia="Calibri"/>
          <w:sz w:val="24"/>
        </w:rPr>
        <w:t>:</w:t>
      </w:r>
      <w:r>
        <w:rPr>
          <w:rFonts w:ascii="Calibri" w:eastAsia="Calibri"/>
          <w:spacing w:val="65"/>
          <w:sz w:val="24"/>
        </w:rPr>
        <w:t> </w:t>
      </w:r>
      <w:r>
        <w:rPr>
          <w:sz w:val="24"/>
        </w:rPr>
        <w:t>（</w:t>
        <w:tab/>
      </w:r>
      <w:r>
        <w:rPr>
          <w:spacing w:val="-120"/>
          <w:sz w:val="24"/>
        </w:rPr>
        <w:t>）</w:t>
      </w:r>
      <w:r>
        <w:rPr>
          <w:sz w:val="24"/>
        </w:rPr>
        <w:t>。</w:t>
      </w:r>
    </w:p>
    <w:p>
      <w:pPr>
        <w:pStyle w:val="ListParagraph"/>
        <w:numPr>
          <w:ilvl w:val="1"/>
          <w:numId w:val="2"/>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款项和有价证券的收付；</w:t>
      </w:r>
    </w:p>
    <w:p>
      <w:pPr>
        <w:pStyle w:val="ListParagraph"/>
        <w:numPr>
          <w:ilvl w:val="1"/>
          <w:numId w:val="2"/>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财物的收发、增减和使用；</w:t>
      </w:r>
    </w:p>
    <w:p>
      <w:pPr>
        <w:pStyle w:val="ListParagraph"/>
        <w:numPr>
          <w:ilvl w:val="1"/>
          <w:numId w:val="2"/>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债权、债务的发生和结算；</w:t>
      </w:r>
    </w:p>
    <w:p>
      <w:pPr>
        <w:pStyle w:val="ListParagraph"/>
        <w:numPr>
          <w:ilvl w:val="1"/>
          <w:numId w:val="2"/>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资本、基金的增减；</w:t>
      </w:r>
    </w:p>
    <w:p>
      <w:pPr>
        <w:pStyle w:val="ListParagraph"/>
        <w:numPr>
          <w:ilvl w:val="1"/>
          <w:numId w:val="2"/>
        </w:numPr>
        <w:tabs>
          <w:tab w:pos="1002" w:val="left" w:leader="none"/>
        </w:tabs>
        <w:spacing w:line="240" w:lineRule="auto" w:before="26" w:after="0"/>
        <w:ind w:left="1001" w:right="0" w:hanging="302"/>
        <w:jc w:val="left"/>
        <w:rPr>
          <w:rFonts w:ascii="Calibri" w:eastAsia="Calibri"/>
          <w:b/>
          <w:color w:val="FF0000"/>
          <w:sz w:val="24"/>
        </w:rPr>
      </w:pPr>
      <w:r>
        <w:rPr>
          <w:rFonts w:ascii="Microsoft JhengHei" w:eastAsia="Microsoft JhengHei" w:hint="eastAsia"/>
          <w:b/>
          <w:color w:val="FF0000"/>
          <w:sz w:val="24"/>
        </w:rPr>
        <w:t>收入、支出、费用、成本的计算；</w:t>
      </w:r>
    </w:p>
    <w:p>
      <w:pPr>
        <w:pStyle w:val="ListParagraph"/>
        <w:numPr>
          <w:ilvl w:val="1"/>
          <w:numId w:val="2"/>
        </w:numPr>
        <w:tabs>
          <w:tab w:pos="995" w:val="left" w:leader="none"/>
        </w:tabs>
        <w:spacing w:line="240" w:lineRule="auto" w:before="27" w:after="0"/>
        <w:ind w:left="994" w:right="0" w:hanging="295"/>
        <w:jc w:val="left"/>
        <w:rPr>
          <w:rFonts w:ascii="Calibri" w:eastAsia="Calibri"/>
          <w:b/>
          <w:color w:val="FF0000"/>
          <w:sz w:val="24"/>
        </w:rPr>
      </w:pPr>
      <w:r>
        <w:rPr>
          <w:rFonts w:ascii="Microsoft JhengHei" w:eastAsia="Microsoft JhengHei" w:hint="eastAsia"/>
          <w:b/>
          <w:color w:val="FF0000"/>
          <w:sz w:val="24"/>
        </w:rPr>
        <w:t>财务成果的计算和处理；</w:t>
      </w:r>
    </w:p>
    <w:p>
      <w:pPr>
        <w:pStyle w:val="ListParagraph"/>
        <w:numPr>
          <w:ilvl w:val="0"/>
          <w:numId w:val="2"/>
        </w:numPr>
        <w:tabs>
          <w:tab w:pos="527" w:val="left" w:leader="none"/>
          <w:tab w:pos="2619" w:val="left" w:leader="none"/>
        </w:tabs>
        <w:spacing w:line="364" w:lineRule="auto" w:before="106" w:after="0"/>
        <w:ind w:left="220" w:right="738" w:firstLine="0"/>
        <w:jc w:val="left"/>
        <w:rPr>
          <w:sz w:val="24"/>
        </w:rPr>
      </w:pPr>
      <w:r>
        <w:rPr>
          <w:sz w:val="24"/>
        </w:rPr>
        <w:t>我国企业会计准则对企业财务会计报告使用者也有专门的说明，即“财务会计报告使用者包括（</w:t>
        <w:tab/>
      </w:r>
      <w:r>
        <w:rPr>
          <w:spacing w:val="-120"/>
          <w:sz w:val="24"/>
        </w:rPr>
        <w:t>）</w:t>
      </w:r>
      <w:r>
        <w:rPr>
          <w:sz w:val="24"/>
        </w:rPr>
        <w:t>。</w:t>
      </w:r>
    </w:p>
    <w:p>
      <w:pPr>
        <w:pStyle w:val="ListParagraph"/>
        <w:numPr>
          <w:ilvl w:val="1"/>
          <w:numId w:val="2"/>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投资者</w:t>
      </w:r>
    </w:p>
    <w:p>
      <w:pPr>
        <w:pStyle w:val="ListParagraph"/>
        <w:numPr>
          <w:ilvl w:val="1"/>
          <w:numId w:val="2"/>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债权人</w:t>
      </w:r>
    </w:p>
    <w:p>
      <w:pPr>
        <w:pStyle w:val="ListParagraph"/>
        <w:numPr>
          <w:ilvl w:val="1"/>
          <w:numId w:val="2"/>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政府及其有关部门</w:t>
      </w:r>
    </w:p>
    <w:p>
      <w:pPr>
        <w:pStyle w:val="ListParagraph"/>
        <w:numPr>
          <w:ilvl w:val="1"/>
          <w:numId w:val="2"/>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社会公众</w:t>
      </w:r>
    </w:p>
    <w:p>
      <w:pPr>
        <w:pStyle w:val="ListParagraph"/>
        <w:numPr>
          <w:ilvl w:val="0"/>
          <w:numId w:val="2"/>
        </w:numPr>
        <w:tabs>
          <w:tab w:pos="525" w:val="left" w:leader="none"/>
          <w:tab w:pos="3883" w:val="left" w:leader="none"/>
        </w:tabs>
        <w:spacing w:line="240" w:lineRule="auto" w:before="106" w:after="0"/>
        <w:ind w:left="524" w:right="0" w:hanging="305"/>
        <w:jc w:val="left"/>
        <w:rPr>
          <w:sz w:val="24"/>
        </w:rPr>
      </w:pPr>
      <w:r>
        <w:rPr>
          <w:sz w:val="24"/>
        </w:rPr>
        <w:t>我国企业会计准则体系包括（</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基本准则</w:t>
      </w:r>
    </w:p>
    <w:p>
      <w:pPr>
        <w:spacing w:after="0" w:line="240" w:lineRule="auto"/>
        <w:jc w:val="left"/>
        <w:rPr>
          <w:rFonts w:ascii="Calibri" w:eastAsia="Calibri"/>
          <w:sz w:val="24"/>
        </w:rPr>
        <w:sectPr>
          <w:pgSz w:w="11910" w:h="16840"/>
          <w:pgMar w:top="1460" w:bottom="280" w:left="1580" w:right="1060"/>
        </w:sectPr>
      </w:pPr>
    </w:p>
    <w:p>
      <w:pPr>
        <w:pStyle w:val="ListParagraph"/>
        <w:numPr>
          <w:ilvl w:val="1"/>
          <w:numId w:val="2"/>
        </w:numPr>
        <w:tabs>
          <w:tab w:pos="1019" w:val="left" w:leader="none"/>
        </w:tabs>
        <w:spacing w:line="406" w:lineRule="exact" w:before="0" w:after="0"/>
        <w:ind w:left="1018" w:right="0" w:hanging="319"/>
        <w:jc w:val="left"/>
        <w:rPr>
          <w:rFonts w:ascii="Calibri" w:eastAsia="Calibri"/>
          <w:b/>
          <w:color w:val="FF0000"/>
          <w:sz w:val="24"/>
        </w:rPr>
      </w:pPr>
      <w:r>
        <w:rPr>
          <w:rFonts w:ascii="Microsoft JhengHei" w:eastAsia="Microsoft JhengHei" w:hint="eastAsia"/>
          <w:b/>
          <w:color w:val="FF0000"/>
          <w:sz w:val="24"/>
        </w:rPr>
        <w:t>具体准则</w:t>
      </w:r>
    </w:p>
    <w:p>
      <w:pPr>
        <w:pStyle w:val="ListParagraph"/>
        <w:numPr>
          <w:ilvl w:val="1"/>
          <w:numId w:val="2"/>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应用指南</w:t>
      </w:r>
    </w:p>
    <w:p>
      <w:pPr>
        <w:pStyle w:val="ListParagraph"/>
        <w:numPr>
          <w:ilvl w:val="1"/>
          <w:numId w:val="2"/>
        </w:numPr>
        <w:tabs>
          <w:tab w:pos="1029" w:val="left" w:leader="none"/>
        </w:tabs>
        <w:spacing w:line="240" w:lineRule="auto" w:before="106" w:after="0"/>
        <w:ind w:left="1028" w:right="0" w:hanging="329"/>
        <w:jc w:val="left"/>
        <w:rPr>
          <w:rFonts w:ascii="Calibri" w:eastAsia="Calibri"/>
          <w:sz w:val="24"/>
        </w:rPr>
      </w:pPr>
      <w:r>
        <w:rPr>
          <w:sz w:val="24"/>
        </w:rPr>
        <w:t>会计制度</w:t>
      </w:r>
    </w:p>
    <w:p>
      <w:pPr>
        <w:pStyle w:val="ListParagraph"/>
        <w:numPr>
          <w:ilvl w:val="0"/>
          <w:numId w:val="2"/>
        </w:numPr>
        <w:tabs>
          <w:tab w:pos="525" w:val="left" w:leader="none"/>
          <w:tab w:pos="5083" w:val="left" w:leader="none"/>
        </w:tabs>
        <w:spacing w:line="240" w:lineRule="auto" w:before="161" w:after="0"/>
        <w:ind w:left="524" w:right="0" w:hanging="305"/>
        <w:jc w:val="left"/>
        <w:rPr>
          <w:sz w:val="24"/>
        </w:rPr>
      </w:pPr>
      <w:r>
        <w:rPr>
          <w:sz w:val="24"/>
        </w:rPr>
        <w:t>按照我国会计准则的解释，会计假设有（</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会计主体</w:t>
      </w:r>
    </w:p>
    <w:p>
      <w:pPr>
        <w:pStyle w:val="ListParagraph"/>
        <w:numPr>
          <w:ilvl w:val="1"/>
          <w:numId w:val="2"/>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持续经营</w:t>
      </w:r>
    </w:p>
    <w:p>
      <w:pPr>
        <w:pStyle w:val="ListParagraph"/>
        <w:numPr>
          <w:ilvl w:val="1"/>
          <w:numId w:val="2"/>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会计分期</w:t>
      </w:r>
    </w:p>
    <w:p>
      <w:pPr>
        <w:pStyle w:val="ListParagraph"/>
        <w:numPr>
          <w:ilvl w:val="1"/>
          <w:numId w:val="2"/>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货币计量</w:t>
      </w:r>
    </w:p>
    <w:p>
      <w:pPr>
        <w:pStyle w:val="ListParagraph"/>
        <w:numPr>
          <w:ilvl w:val="0"/>
          <w:numId w:val="2"/>
        </w:numPr>
        <w:tabs>
          <w:tab w:pos="525" w:val="left" w:leader="none"/>
          <w:tab w:pos="4603" w:val="left" w:leader="none"/>
        </w:tabs>
        <w:spacing w:line="240" w:lineRule="auto" w:before="106" w:after="0"/>
        <w:ind w:left="524" w:right="0" w:hanging="305"/>
        <w:jc w:val="left"/>
        <w:rPr>
          <w:sz w:val="24"/>
        </w:rPr>
      </w:pPr>
      <w:r>
        <w:rPr>
          <w:sz w:val="24"/>
        </w:rPr>
        <w:t>以下关于会计凭证表述正确的是：（</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both"/>
        <w:rPr>
          <w:rFonts w:ascii="Calibri" w:eastAsia="Calibri"/>
          <w:b/>
          <w:color w:val="FF0000"/>
          <w:sz w:val="24"/>
        </w:rPr>
      </w:pPr>
      <w:r>
        <w:rPr>
          <w:rFonts w:ascii="Microsoft JhengHei" w:eastAsia="Microsoft JhengHei" w:hint="eastAsia"/>
          <w:b/>
          <w:color w:val="FF0000"/>
          <w:sz w:val="24"/>
        </w:rPr>
        <w:t>会计凭证登记完毕后，应当按照分类和编号顺序保管，不得散乱丢失。</w:t>
      </w:r>
    </w:p>
    <w:p>
      <w:pPr>
        <w:pStyle w:val="ListParagraph"/>
        <w:numPr>
          <w:ilvl w:val="1"/>
          <w:numId w:val="2"/>
        </w:numPr>
        <w:tabs>
          <w:tab w:pos="1019" w:val="left" w:leader="none"/>
        </w:tabs>
        <w:spacing w:line="240" w:lineRule="auto" w:before="27" w:after="0"/>
        <w:ind w:left="1018" w:right="0" w:hanging="319"/>
        <w:jc w:val="both"/>
        <w:rPr>
          <w:rFonts w:ascii="Calibri" w:eastAsia="Calibri"/>
          <w:b/>
          <w:color w:val="FF0000"/>
          <w:sz w:val="24"/>
        </w:rPr>
      </w:pPr>
      <w:r>
        <w:rPr>
          <w:rFonts w:ascii="Microsoft JhengHei" w:eastAsia="Microsoft JhengHei" w:hint="eastAsia"/>
          <w:b/>
          <w:color w:val="FF0000"/>
          <w:sz w:val="24"/>
        </w:rPr>
        <w:t>原始凭证不得外借。</w:t>
      </w:r>
    </w:p>
    <w:p>
      <w:pPr>
        <w:pStyle w:val="ListParagraph"/>
        <w:numPr>
          <w:ilvl w:val="1"/>
          <w:numId w:val="2"/>
        </w:numPr>
        <w:tabs>
          <w:tab w:pos="1013" w:val="left" w:leader="none"/>
        </w:tabs>
        <w:spacing w:line="254" w:lineRule="auto" w:before="27" w:after="0"/>
        <w:ind w:left="220" w:right="739" w:firstLine="480"/>
        <w:jc w:val="both"/>
        <w:rPr>
          <w:rFonts w:ascii="Calibri" w:eastAsia="Calibri"/>
          <w:b/>
          <w:color w:val="FF0000"/>
          <w:sz w:val="24"/>
        </w:rPr>
      </w:pPr>
      <w:r>
        <w:rPr>
          <w:rFonts w:ascii="Microsoft JhengHei" w:eastAsia="Microsoft JhengHei" w:hint="eastAsia"/>
          <w:b/>
          <w:color w:val="FF0000"/>
          <w:sz w:val="24"/>
        </w:rPr>
        <w:t>从外单位取得的原始凭证如有遗失，应当取得原开出单位盖有公章的证明，并注明原来凭证的号码、金额和内容等，由经办单位会计机构负责人、会计主管人员和单位领导人批准后，才能代作原始凭证。</w:t>
      </w:r>
    </w:p>
    <w:p>
      <w:pPr>
        <w:pStyle w:val="ListParagraph"/>
        <w:numPr>
          <w:ilvl w:val="1"/>
          <w:numId w:val="2"/>
        </w:numPr>
        <w:tabs>
          <w:tab w:pos="1033" w:val="left" w:leader="none"/>
        </w:tabs>
        <w:spacing w:line="364" w:lineRule="auto" w:before="79" w:after="0"/>
        <w:ind w:left="220" w:right="739" w:firstLine="480"/>
        <w:jc w:val="both"/>
        <w:rPr>
          <w:rFonts w:ascii="Calibri" w:eastAsia="Calibri"/>
          <w:sz w:val="24"/>
        </w:rPr>
      </w:pPr>
      <w:r>
        <w:rPr>
          <w:sz w:val="24"/>
        </w:rPr>
        <w:t>从外单位取得的原始凭证如有遗失</w:t>
      </w:r>
      <w:r>
        <w:rPr>
          <w:rFonts w:ascii="Calibri" w:eastAsia="Calibri"/>
          <w:spacing w:val="16"/>
          <w:sz w:val="24"/>
        </w:rPr>
        <w:t>, </w:t>
      </w:r>
      <w:r>
        <w:rPr>
          <w:sz w:val="24"/>
        </w:rPr>
        <w:t>经办人书面说明，经过本单位领导人批准后，可以代作原始凭证。</w:t>
      </w:r>
    </w:p>
    <w:p>
      <w:pPr>
        <w:pStyle w:val="ListParagraph"/>
        <w:numPr>
          <w:ilvl w:val="0"/>
          <w:numId w:val="2"/>
        </w:numPr>
        <w:tabs>
          <w:tab w:pos="525" w:val="left" w:leader="none"/>
          <w:tab w:pos="4363" w:val="left" w:leader="none"/>
        </w:tabs>
        <w:spacing w:line="240" w:lineRule="auto" w:before="2" w:after="0"/>
        <w:ind w:left="524" w:right="0" w:hanging="305"/>
        <w:jc w:val="left"/>
        <w:rPr>
          <w:sz w:val="24"/>
        </w:rPr>
      </w:pPr>
      <w:r>
        <w:rPr>
          <w:sz w:val="24"/>
        </w:rPr>
        <w:t>以下关于费用的表述正确的是：（</w:t>
        <w:tab/>
      </w:r>
      <w:r>
        <w:rPr>
          <w:spacing w:val="-120"/>
          <w:sz w:val="24"/>
        </w:rPr>
        <w:t>）</w:t>
      </w:r>
      <w:r>
        <w:rPr>
          <w:sz w:val="24"/>
        </w:rPr>
        <w:t>。</w:t>
      </w:r>
    </w:p>
    <w:p>
      <w:pPr>
        <w:pStyle w:val="ListParagraph"/>
        <w:numPr>
          <w:ilvl w:val="1"/>
          <w:numId w:val="2"/>
        </w:numPr>
        <w:tabs>
          <w:tab w:pos="1031" w:val="left" w:leader="none"/>
        </w:tabs>
        <w:spacing w:line="254" w:lineRule="auto" w:before="81" w:after="0"/>
        <w:ind w:left="220" w:right="738" w:firstLine="480"/>
        <w:jc w:val="both"/>
        <w:rPr>
          <w:rFonts w:ascii="Calibri" w:eastAsia="Calibri"/>
          <w:b/>
          <w:color w:val="FF0000"/>
          <w:sz w:val="24"/>
        </w:rPr>
      </w:pPr>
      <w:r>
        <w:rPr>
          <w:rFonts w:ascii="Microsoft JhengHei" w:eastAsia="Microsoft JhengHei" w:hint="eastAsia"/>
          <w:b/>
          <w:color w:val="FF0000"/>
          <w:sz w:val="24"/>
        </w:rPr>
        <w:t>费用只有在经济利益很可能流出从而导致企业资产减少或者负债增加、且经济利益的流出额能够可靠计量时才能予以确认；</w:t>
      </w:r>
    </w:p>
    <w:p>
      <w:pPr>
        <w:pStyle w:val="ListParagraph"/>
        <w:numPr>
          <w:ilvl w:val="1"/>
          <w:numId w:val="2"/>
        </w:numPr>
        <w:tabs>
          <w:tab w:pos="1020" w:val="left" w:leader="none"/>
        </w:tabs>
        <w:spacing w:line="254" w:lineRule="auto" w:before="0" w:after="0"/>
        <w:ind w:left="220" w:right="739" w:firstLine="480"/>
        <w:jc w:val="both"/>
        <w:rPr>
          <w:rFonts w:ascii="Calibri" w:eastAsia="Calibri"/>
          <w:b/>
          <w:color w:val="FF0000"/>
          <w:sz w:val="24"/>
        </w:rPr>
      </w:pPr>
      <w:r>
        <w:rPr>
          <w:rFonts w:ascii="Microsoft JhengHei" w:eastAsia="Microsoft JhengHei" w:hint="eastAsia"/>
          <w:b/>
          <w:color w:val="FF0000"/>
          <w:sz w:val="24"/>
        </w:rPr>
        <w:t>企业为生产产品、提供劳务等发生的可归属于产品成本、劳务成本等的费用，应当在确认产品销售收入、劳务收入等时，将已销售产品、已提供劳务的成本等计入当期损益；</w:t>
      </w:r>
    </w:p>
    <w:p>
      <w:pPr>
        <w:pStyle w:val="ListParagraph"/>
        <w:numPr>
          <w:ilvl w:val="1"/>
          <w:numId w:val="2"/>
        </w:numPr>
        <w:tabs>
          <w:tab w:pos="1013" w:val="left" w:leader="none"/>
        </w:tabs>
        <w:spacing w:line="254" w:lineRule="auto" w:before="1" w:after="0"/>
        <w:ind w:left="220" w:right="739" w:firstLine="480"/>
        <w:jc w:val="both"/>
        <w:rPr>
          <w:rFonts w:ascii="Calibri" w:eastAsia="Calibri"/>
          <w:b/>
          <w:color w:val="FF0000"/>
          <w:sz w:val="24"/>
        </w:rPr>
      </w:pPr>
      <w:r>
        <w:rPr>
          <w:rFonts w:ascii="Microsoft JhengHei" w:eastAsia="Microsoft JhengHei" w:hint="eastAsia"/>
          <w:b/>
          <w:color w:val="FF0000"/>
          <w:sz w:val="24"/>
        </w:rPr>
        <w:t>企业发生的支出不产生经济利益的，或者即使能够产生经济利益但不符合或者不再符合资产确认条件的，应当在发生时确认为费用，计入当期损益；</w:t>
      </w:r>
    </w:p>
    <w:p>
      <w:pPr>
        <w:pStyle w:val="ListParagraph"/>
        <w:numPr>
          <w:ilvl w:val="1"/>
          <w:numId w:val="2"/>
        </w:numPr>
        <w:tabs>
          <w:tab w:pos="1037" w:val="left" w:leader="none"/>
        </w:tabs>
        <w:spacing w:line="254" w:lineRule="auto" w:before="0" w:after="0"/>
        <w:ind w:left="220" w:right="739" w:firstLine="480"/>
        <w:jc w:val="both"/>
        <w:rPr>
          <w:rFonts w:ascii="Calibri" w:eastAsia="Calibri"/>
          <w:b/>
          <w:color w:val="FF0000"/>
          <w:sz w:val="24"/>
        </w:rPr>
      </w:pPr>
      <w:r>
        <w:rPr>
          <w:rFonts w:ascii="Microsoft JhengHei" w:eastAsia="Microsoft JhengHei" w:hint="eastAsia"/>
          <w:b/>
          <w:color w:val="FF0000"/>
          <w:sz w:val="24"/>
        </w:rPr>
        <w:t>企业发生的交易或者事项导致其承担了一项负债而又不确认为一项资产的，应当在发生时确认为费用，计入当期损益。</w:t>
      </w:r>
    </w:p>
    <w:p>
      <w:pPr>
        <w:pStyle w:val="ListParagraph"/>
        <w:numPr>
          <w:ilvl w:val="0"/>
          <w:numId w:val="2"/>
        </w:numPr>
        <w:tabs>
          <w:tab w:pos="527" w:val="left" w:leader="none"/>
          <w:tab w:pos="3339" w:val="left" w:leader="none"/>
        </w:tabs>
        <w:spacing w:line="364" w:lineRule="auto" w:before="80" w:after="0"/>
        <w:ind w:left="220" w:right="738" w:firstLine="0"/>
        <w:jc w:val="left"/>
        <w:rPr>
          <w:sz w:val="24"/>
        </w:rPr>
      </w:pPr>
      <w:r>
        <w:rPr>
          <w:sz w:val="24"/>
        </w:rPr>
        <w:t>会计计量属性是指会计要素的数量特征或外在表现形式，反映了会计要素金额的确定基础，主要包括（</w:t>
        <w:tab/>
      </w:r>
      <w:r>
        <w:rPr>
          <w:spacing w:val="-120"/>
          <w:sz w:val="24"/>
        </w:rPr>
        <w:t>）</w:t>
      </w:r>
      <w:r>
        <w:rPr>
          <w:sz w:val="24"/>
        </w:rPr>
        <w:t>。</w:t>
      </w:r>
    </w:p>
    <w:p>
      <w:pPr>
        <w:pStyle w:val="ListParagraph"/>
        <w:numPr>
          <w:ilvl w:val="1"/>
          <w:numId w:val="2"/>
        </w:numPr>
        <w:tabs>
          <w:tab w:pos="1030" w:val="left" w:leader="none"/>
        </w:tabs>
        <w:spacing w:line="363" w:lineRule="exact" w:before="0" w:after="0"/>
        <w:ind w:left="1029" w:right="0" w:hanging="330"/>
        <w:jc w:val="both"/>
        <w:rPr>
          <w:rFonts w:ascii="Calibri" w:eastAsia="Calibri"/>
          <w:b/>
          <w:color w:val="FF0000"/>
          <w:sz w:val="24"/>
        </w:rPr>
      </w:pPr>
      <w:r>
        <w:rPr>
          <w:rFonts w:ascii="Microsoft JhengHei" w:eastAsia="Microsoft JhengHei" w:hint="eastAsia"/>
          <w:b/>
          <w:color w:val="FF0000"/>
          <w:sz w:val="24"/>
        </w:rPr>
        <w:t>历史成本</w:t>
      </w:r>
    </w:p>
    <w:p>
      <w:pPr>
        <w:spacing w:after="0" w:line="363" w:lineRule="exact"/>
        <w:jc w:val="both"/>
        <w:rPr>
          <w:rFonts w:ascii="Calibri" w:eastAsia="Calibri"/>
          <w:sz w:val="24"/>
        </w:rPr>
        <w:sectPr>
          <w:pgSz w:w="11910" w:h="16840"/>
          <w:pgMar w:top="1460" w:bottom="280" w:left="1580" w:right="1060"/>
        </w:sectPr>
      </w:pPr>
    </w:p>
    <w:p>
      <w:pPr>
        <w:pStyle w:val="ListParagraph"/>
        <w:numPr>
          <w:ilvl w:val="1"/>
          <w:numId w:val="2"/>
        </w:numPr>
        <w:tabs>
          <w:tab w:pos="1019" w:val="left" w:leader="none"/>
        </w:tabs>
        <w:spacing w:line="406" w:lineRule="exact" w:before="0" w:after="0"/>
        <w:ind w:left="1018" w:right="0" w:hanging="319"/>
        <w:jc w:val="left"/>
        <w:rPr>
          <w:rFonts w:ascii="Calibri" w:eastAsia="Calibri"/>
          <w:b/>
          <w:color w:val="FF0000"/>
          <w:sz w:val="24"/>
        </w:rPr>
      </w:pPr>
      <w:r>
        <w:rPr>
          <w:rFonts w:ascii="Microsoft JhengHei" w:eastAsia="Microsoft JhengHei" w:hint="eastAsia"/>
          <w:b/>
          <w:color w:val="FF0000"/>
          <w:sz w:val="24"/>
        </w:rPr>
        <w:t>重置成本</w:t>
      </w:r>
    </w:p>
    <w:p>
      <w:pPr>
        <w:pStyle w:val="ListParagraph"/>
        <w:numPr>
          <w:ilvl w:val="1"/>
          <w:numId w:val="2"/>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可变现净值</w:t>
      </w:r>
    </w:p>
    <w:p>
      <w:pPr>
        <w:pStyle w:val="ListParagraph"/>
        <w:numPr>
          <w:ilvl w:val="1"/>
          <w:numId w:val="2"/>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现值</w:t>
      </w:r>
    </w:p>
    <w:p>
      <w:pPr>
        <w:pStyle w:val="ListParagraph"/>
        <w:numPr>
          <w:ilvl w:val="1"/>
          <w:numId w:val="2"/>
        </w:numPr>
        <w:tabs>
          <w:tab w:pos="1002" w:val="left" w:leader="none"/>
        </w:tabs>
        <w:spacing w:line="240" w:lineRule="auto" w:before="27" w:after="0"/>
        <w:ind w:left="1001" w:right="0" w:hanging="302"/>
        <w:jc w:val="left"/>
        <w:rPr>
          <w:rFonts w:ascii="Calibri" w:eastAsia="Calibri"/>
          <w:b/>
          <w:color w:val="FF0000"/>
          <w:sz w:val="24"/>
        </w:rPr>
      </w:pPr>
      <w:r>
        <w:rPr>
          <w:rFonts w:ascii="Microsoft JhengHei" w:eastAsia="Microsoft JhengHei" w:hint="eastAsia"/>
          <w:b/>
          <w:color w:val="FF0000"/>
          <w:sz w:val="24"/>
        </w:rPr>
        <w:t>公允价值</w:t>
      </w:r>
    </w:p>
    <w:p>
      <w:pPr>
        <w:pStyle w:val="ListParagraph"/>
        <w:numPr>
          <w:ilvl w:val="0"/>
          <w:numId w:val="2"/>
        </w:numPr>
        <w:tabs>
          <w:tab w:pos="525" w:val="left" w:leader="none"/>
          <w:tab w:pos="5083" w:val="left" w:leader="none"/>
        </w:tabs>
        <w:spacing w:line="240" w:lineRule="auto" w:before="106" w:after="0"/>
        <w:ind w:left="524" w:right="0" w:hanging="305"/>
        <w:jc w:val="left"/>
        <w:rPr>
          <w:sz w:val="24"/>
        </w:rPr>
      </w:pPr>
      <w:r>
        <w:rPr>
          <w:sz w:val="24"/>
        </w:rPr>
        <w:t>原始凭证按照填制手续及内容不同分为（</w:t>
        <w:tab/>
      </w:r>
      <w:r>
        <w:rPr>
          <w:spacing w:val="-120"/>
          <w:sz w:val="24"/>
        </w:rPr>
        <w:t>）</w:t>
      </w:r>
      <w:r>
        <w:rPr>
          <w:sz w:val="24"/>
        </w:rPr>
        <w:t>。</w:t>
      </w:r>
    </w:p>
    <w:p>
      <w:pPr>
        <w:pStyle w:val="ListParagraph"/>
        <w:numPr>
          <w:ilvl w:val="1"/>
          <w:numId w:val="2"/>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一次凭证</w:t>
      </w:r>
    </w:p>
    <w:p>
      <w:pPr>
        <w:pStyle w:val="ListParagraph"/>
        <w:numPr>
          <w:ilvl w:val="1"/>
          <w:numId w:val="2"/>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累计凭证</w:t>
      </w:r>
    </w:p>
    <w:p>
      <w:pPr>
        <w:pStyle w:val="ListParagraph"/>
        <w:numPr>
          <w:ilvl w:val="1"/>
          <w:numId w:val="2"/>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汇总凭证</w:t>
      </w:r>
    </w:p>
    <w:p>
      <w:pPr>
        <w:pStyle w:val="ListParagraph"/>
        <w:numPr>
          <w:ilvl w:val="1"/>
          <w:numId w:val="2"/>
        </w:numPr>
        <w:tabs>
          <w:tab w:pos="1029" w:val="left" w:leader="none"/>
        </w:tabs>
        <w:spacing w:line="240" w:lineRule="auto" w:before="106" w:after="0"/>
        <w:ind w:left="1028" w:right="0" w:hanging="329"/>
        <w:jc w:val="left"/>
        <w:rPr>
          <w:rFonts w:ascii="Calibri" w:eastAsia="Calibri"/>
          <w:sz w:val="24"/>
        </w:rPr>
      </w:pPr>
      <w:r>
        <w:rPr>
          <w:sz w:val="24"/>
        </w:rPr>
        <w:t>自制凭证</w:t>
      </w:r>
    </w:p>
    <w:p>
      <w:pPr>
        <w:spacing w:before="81"/>
        <w:ind w:left="220" w:right="0" w:firstLine="0"/>
        <w:jc w:val="left"/>
        <w:rPr>
          <w:rFonts w:ascii="Microsoft JhengHei" w:eastAsia="Microsoft JhengHei" w:hint="eastAsia"/>
          <w:b/>
          <w:sz w:val="24"/>
        </w:rPr>
      </w:pPr>
      <w:r>
        <w:rPr>
          <w:rFonts w:ascii="Microsoft JhengHei" w:eastAsia="Microsoft JhengHei" w:hint="eastAsia"/>
          <w:b/>
          <w:sz w:val="24"/>
        </w:rPr>
        <w:t>三、判断题（</w:t>
      </w:r>
      <w:r>
        <w:rPr>
          <w:rFonts w:ascii="Microsoft JhengHei" w:eastAsia="Microsoft JhengHei" w:hint="eastAsia"/>
          <w:b/>
          <w:spacing w:val="60"/>
          <w:sz w:val="24"/>
        </w:rPr>
        <w:t> </w:t>
      </w:r>
      <w:r>
        <w:rPr>
          <w:rFonts w:ascii="Calibri" w:eastAsia="Calibri"/>
          <w:b/>
          <w:sz w:val="24"/>
        </w:rPr>
        <w:t>30</w:t>
      </w:r>
      <w:r>
        <w:rPr>
          <w:rFonts w:ascii="Calibri" w:eastAsia="Calibri"/>
          <w:b/>
          <w:spacing w:val="5"/>
          <w:sz w:val="24"/>
        </w:rPr>
        <w:t> </w:t>
      </w:r>
      <w:r>
        <w:rPr>
          <w:rFonts w:ascii="Microsoft JhengHei" w:eastAsia="Microsoft JhengHei" w:hint="eastAsia"/>
          <w:b/>
          <w:sz w:val="24"/>
        </w:rPr>
        <w:t>分，每题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w:t>
      </w:r>
    </w:p>
    <w:p>
      <w:pPr>
        <w:pStyle w:val="ListParagraph"/>
        <w:numPr>
          <w:ilvl w:val="0"/>
          <w:numId w:val="2"/>
        </w:numPr>
        <w:tabs>
          <w:tab w:pos="1005" w:val="left" w:leader="none"/>
        </w:tabs>
        <w:spacing w:line="240" w:lineRule="auto" w:before="106" w:after="0"/>
        <w:ind w:left="1004" w:right="0" w:hanging="305"/>
        <w:jc w:val="left"/>
        <w:rPr>
          <w:sz w:val="24"/>
        </w:rPr>
      </w:pPr>
      <w:r>
        <w:rPr>
          <w:spacing w:val="-5"/>
          <w:sz w:val="24"/>
        </w:rPr>
        <w:t>会计有助于考核和监督企业管理层经济责任的履行情况。</w:t>
      </w:r>
      <w:r>
        <w:rPr>
          <w:sz w:val="24"/>
        </w:rPr>
        <w:t>（√）</w:t>
      </w:r>
    </w:p>
    <w:p>
      <w:pPr>
        <w:pStyle w:val="ListParagraph"/>
        <w:numPr>
          <w:ilvl w:val="0"/>
          <w:numId w:val="2"/>
        </w:numPr>
        <w:tabs>
          <w:tab w:pos="1007" w:val="left" w:leader="none"/>
        </w:tabs>
        <w:spacing w:line="364" w:lineRule="auto" w:before="161" w:after="0"/>
        <w:ind w:left="220" w:right="738" w:firstLine="480"/>
        <w:jc w:val="left"/>
        <w:rPr>
          <w:sz w:val="24"/>
        </w:rPr>
      </w:pPr>
      <w:r>
        <w:rPr>
          <w:sz w:val="24"/>
        </w:rPr>
        <w:t>发现原始凭证有错误的，应当由开出单位重开或者更正，更正处应当加</w:t>
      </w:r>
      <w:r>
        <w:rPr>
          <w:spacing w:val="-14"/>
          <w:sz w:val="24"/>
        </w:rPr>
        <w:t>盖开出单位的公章。</w:t>
      </w:r>
      <w:r>
        <w:rPr>
          <w:sz w:val="24"/>
        </w:rPr>
        <w:t>（√）</w:t>
      </w:r>
    </w:p>
    <w:p>
      <w:pPr>
        <w:pStyle w:val="ListParagraph"/>
        <w:numPr>
          <w:ilvl w:val="0"/>
          <w:numId w:val="2"/>
        </w:numPr>
        <w:tabs>
          <w:tab w:pos="1005" w:val="left" w:leader="none"/>
        </w:tabs>
        <w:spacing w:line="240" w:lineRule="auto" w:before="1" w:after="0"/>
        <w:ind w:left="1004" w:right="0" w:hanging="305"/>
        <w:jc w:val="left"/>
        <w:rPr>
          <w:sz w:val="24"/>
        </w:rPr>
      </w:pPr>
      <w:r>
        <w:rPr>
          <w:spacing w:val="-9"/>
          <w:sz w:val="24"/>
        </w:rPr>
        <w:t>其他货币资金属于资产类科目。</w:t>
      </w:r>
      <w:r>
        <w:rPr>
          <w:sz w:val="24"/>
        </w:rPr>
        <w:t>（√）</w:t>
      </w:r>
    </w:p>
    <w:p>
      <w:pPr>
        <w:pStyle w:val="ListParagraph"/>
        <w:numPr>
          <w:ilvl w:val="0"/>
          <w:numId w:val="2"/>
        </w:numPr>
        <w:tabs>
          <w:tab w:pos="1005" w:val="left" w:leader="none"/>
        </w:tabs>
        <w:spacing w:line="240" w:lineRule="auto" w:before="160" w:after="0"/>
        <w:ind w:left="1004" w:right="0" w:hanging="305"/>
        <w:jc w:val="left"/>
        <w:rPr>
          <w:sz w:val="24"/>
        </w:rPr>
      </w:pPr>
      <w:r>
        <w:rPr>
          <w:spacing w:val="-5"/>
          <w:sz w:val="24"/>
        </w:rPr>
        <w:t>财务会计报表中的现金流量表，就是以权责发生制为基础编制的。</w:t>
      </w:r>
      <w:r>
        <w:rPr>
          <w:sz w:val="24"/>
        </w:rPr>
        <w:t>（×）</w:t>
      </w:r>
    </w:p>
    <w:p>
      <w:pPr>
        <w:pStyle w:val="ListParagraph"/>
        <w:numPr>
          <w:ilvl w:val="0"/>
          <w:numId w:val="2"/>
        </w:numPr>
        <w:tabs>
          <w:tab w:pos="1007" w:val="left" w:leader="none"/>
        </w:tabs>
        <w:spacing w:line="364" w:lineRule="auto" w:before="161" w:after="0"/>
        <w:ind w:left="220" w:right="738" w:firstLine="480"/>
        <w:jc w:val="left"/>
        <w:rPr>
          <w:sz w:val="24"/>
        </w:rPr>
      </w:pPr>
      <w:r>
        <w:rPr>
          <w:sz w:val="24"/>
        </w:rPr>
        <w:t>可靠性是指企业提供的会计信息应当清晰明了，便于财务会计报告使用</w:t>
      </w:r>
      <w:r>
        <w:rPr>
          <w:spacing w:val="-18"/>
          <w:sz w:val="24"/>
        </w:rPr>
        <w:t>者理解和使用。</w:t>
      </w:r>
      <w:r>
        <w:rPr>
          <w:sz w:val="24"/>
        </w:rPr>
        <w:t>（×）</w:t>
      </w:r>
    </w:p>
    <w:p>
      <w:pPr>
        <w:pStyle w:val="ListParagraph"/>
        <w:numPr>
          <w:ilvl w:val="0"/>
          <w:numId w:val="2"/>
        </w:numPr>
        <w:tabs>
          <w:tab w:pos="1005" w:val="left" w:leader="none"/>
        </w:tabs>
        <w:spacing w:line="240" w:lineRule="auto" w:before="1" w:after="0"/>
        <w:ind w:left="1004" w:right="0" w:hanging="305"/>
        <w:jc w:val="left"/>
        <w:rPr>
          <w:sz w:val="24"/>
        </w:rPr>
      </w:pPr>
      <w:r>
        <w:rPr>
          <w:spacing w:val="-5"/>
          <w:sz w:val="24"/>
        </w:rPr>
        <w:t>未来发生的交易或者事项形成的义务也应当确认为负债。</w:t>
      </w:r>
      <w:r>
        <w:rPr>
          <w:sz w:val="24"/>
        </w:rPr>
        <w:t>（×）</w:t>
      </w:r>
    </w:p>
    <w:p>
      <w:pPr>
        <w:pStyle w:val="ListParagraph"/>
        <w:numPr>
          <w:ilvl w:val="0"/>
          <w:numId w:val="2"/>
        </w:numPr>
        <w:tabs>
          <w:tab w:pos="1007" w:val="left" w:leader="none"/>
        </w:tabs>
        <w:spacing w:line="364" w:lineRule="auto" w:before="161" w:after="0"/>
        <w:ind w:left="220" w:right="738" w:firstLine="480"/>
        <w:jc w:val="left"/>
        <w:rPr>
          <w:sz w:val="24"/>
        </w:rPr>
      </w:pPr>
      <w:r>
        <w:rPr>
          <w:sz w:val="24"/>
        </w:rPr>
        <w:t>《会计法》是会计法律制度中层次最高的法律规范，是制定其他会计规</w:t>
      </w:r>
      <w:r>
        <w:rPr>
          <w:spacing w:val="-7"/>
          <w:sz w:val="24"/>
        </w:rPr>
        <w:t>范的依据，也是指导会计工作的最高规则。</w:t>
      </w:r>
      <w:r>
        <w:rPr>
          <w:sz w:val="24"/>
        </w:rPr>
        <w:t>（√）</w:t>
      </w:r>
    </w:p>
    <w:p>
      <w:pPr>
        <w:pStyle w:val="ListParagraph"/>
        <w:numPr>
          <w:ilvl w:val="0"/>
          <w:numId w:val="2"/>
        </w:numPr>
        <w:tabs>
          <w:tab w:pos="1007" w:val="left" w:leader="none"/>
        </w:tabs>
        <w:spacing w:line="364" w:lineRule="auto" w:before="1" w:after="0"/>
        <w:ind w:left="220" w:right="738" w:firstLine="480"/>
        <w:jc w:val="left"/>
        <w:rPr>
          <w:sz w:val="24"/>
        </w:rPr>
      </w:pPr>
      <w:r>
        <w:rPr>
          <w:sz w:val="24"/>
        </w:rPr>
        <w:t>非营利组织会计就是用于确认、计量、记录和报告各类非营利组织财务</w:t>
      </w:r>
      <w:r>
        <w:rPr>
          <w:spacing w:val="-6"/>
          <w:sz w:val="24"/>
        </w:rPr>
        <w:t>收支活动及其受托责任履行情况的一种会计类型。</w:t>
      </w:r>
      <w:r>
        <w:rPr>
          <w:sz w:val="24"/>
        </w:rPr>
        <w:t>（√）</w:t>
      </w:r>
    </w:p>
    <w:p>
      <w:pPr>
        <w:pStyle w:val="ListParagraph"/>
        <w:numPr>
          <w:ilvl w:val="0"/>
          <w:numId w:val="2"/>
        </w:numPr>
        <w:tabs>
          <w:tab w:pos="1005" w:val="left" w:leader="none"/>
        </w:tabs>
        <w:spacing w:line="240" w:lineRule="auto" w:before="1" w:after="0"/>
        <w:ind w:left="1004" w:right="0" w:hanging="305"/>
        <w:jc w:val="left"/>
        <w:rPr>
          <w:sz w:val="24"/>
        </w:rPr>
      </w:pPr>
      <w:r>
        <w:rPr>
          <w:spacing w:val="-6"/>
          <w:sz w:val="24"/>
        </w:rPr>
        <w:t>现金日记账和和银行存款日记账必须逐日结出余额。</w:t>
      </w:r>
      <w:r>
        <w:rPr>
          <w:sz w:val="24"/>
        </w:rPr>
        <w:t>（√）</w:t>
      </w:r>
    </w:p>
    <w:p>
      <w:pPr>
        <w:pStyle w:val="ListParagraph"/>
        <w:numPr>
          <w:ilvl w:val="0"/>
          <w:numId w:val="2"/>
        </w:numPr>
        <w:tabs>
          <w:tab w:pos="1005" w:val="left" w:leader="none"/>
        </w:tabs>
        <w:spacing w:line="240" w:lineRule="auto" w:before="161" w:after="0"/>
        <w:ind w:left="1004" w:right="0" w:hanging="305"/>
        <w:jc w:val="left"/>
        <w:rPr>
          <w:sz w:val="24"/>
        </w:rPr>
      </w:pPr>
      <w:r>
        <w:rPr>
          <w:spacing w:val="-10"/>
          <w:sz w:val="24"/>
        </w:rPr>
        <w:t>短期借款属于负债类科目。</w:t>
      </w:r>
      <w:r>
        <w:rPr>
          <w:sz w:val="24"/>
        </w:rPr>
        <w:t>（√）</w:t>
      </w:r>
    </w:p>
    <w:p>
      <w:pPr>
        <w:pStyle w:val="BodyText"/>
        <w:spacing w:before="0"/>
        <w:ind w:left="0"/>
        <w:rPr>
          <w:sz w:val="26"/>
        </w:rPr>
      </w:pPr>
    </w:p>
    <w:p>
      <w:pPr>
        <w:pStyle w:val="BodyText"/>
        <w:spacing w:before="0"/>
        <w:ind w:left="0"/>
        <w:rPr>
          <w:sz w:val="26"/>
        </w:rPr>
      </w:pPr>
    </w:p>
    <w:p>
      <w:pPr>
        <w:pStyle w:val="BodyText"/>
        <w:spacing w:before="4"/>
        <w:ind w:left="0"/>
        <w:rPr>
          <w:sz w:val="27"/>
        </w:rPr>
      </w:pPr>
    </w:p>
    <w:p>
      <w:pPr>
        <w:spacing w:before="1"/>
        <w:ind w:left="914" w:right="1433" w:firstLine="0"/>
        <w:jc w:val="center"/>
        <w:rPr>
          <w:rFonts w:ascii="Calibri" w:eastAsia="Calibri"/>
          <w:b/>
          <w:sz w:val="24"/>
        </w:rPr>
      </w:pPr>
      <w:r>
        <w:rPr>
          <w:rFonts w:ascii="Microsoft JhengHei" w:eastAsia="Microsoft JhengHei" w:hint="eastAsia"/>
          <w:b/>
          <w:sz w:val="24"/>
        </w:rPr>
        <w:t>形考任务 </w:t>
      </w:r>
      <w:r>
        <w:rPr>
          <w:rFonts w:ascii="Calibri" w:eastAsia="Calibri"/>
          <w:b/>
          <w:sz w:val="24"/>
        </w:rPr>
        <w:t>2</w:t>
      </w:r>
    </w:p>
    <w:p>
      <w:pPr>
        <w:spacing w:before="26"/>
        <w:ind w:left="220" w:right="0" w:firstLine="0"/>
        <w:jc w:val="left"/>
        <w:rPr>
          <w:rFonts w:ascii="Microsoft JhengHei" w:eastAsia="Microsoft JhengHei" w:hint="eastAsia"/>
          <w:b/>
          <w:sz w:val="24"/>
        </w:rPr>
      </w:pPr>
      <w:r>
        <w:rPr>
          <w:rFonts w:ascii="Microsoft JhengHei" w:eastAsia="Microsoft JhengHei" w:hint="eastAsia"/>
          <w:b/>
          <w:sz w:val="24"/>
        </w:rPr>
        <w:t>一、单项选择题（每题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15</w:t>
      </w:r>
      <w:r>
        <w:rPr>
          <w:rFonts w:ascii="Calibri" w:eastAsia="Calibri"/>
          <w:b/>
          <w:spacing w:val="6"/>
          <w:sz w:val="24"/>
        </w:rPr>
        <w:t> </w:t>
      </w:r>
      <w:r>
        <w:rPr>
          <w:rFonts w:ascii="Microsoft JhengHei" w:eastAsia="Microsoft JhengHei" w:hint="eastAsia"/>
          <w:b/>
          <w:sz w:val="24"/>
        </w:rPr>
        <w:t>分）</w:t>
      </w:r>
    </w:p>
    <w:p>
      <w:pPr>
        <w:pStyle w:val="ListParagraph"/>
        <w:numPr>
          <w:ilvl w:val="0"/>
          <w:numId w:val="3"/>
        </w:numPr>
        <w:tabs>
          <w:tab w:pos="404" w:val="left" w:leader="none"/>
          <w:tab w:pos="3522" w:val="left" w:leader="none"/>
        </w:tabs>
        <w:spacing w:line="240" w:lineRule="auto" w:before="106" w:after="0"/>
        <w:ind w:left="403" w:right="0" w:hanging="184"/>
        <w:jc w:val="left"/>
        <w:rPr>
          <w:sz w:val="24"/>
        </w:rPr>
      </w:pPr>
      <w:r>
        <w:rPr>
          <w:sz w:val="24"/>
        </w:rPr>
        <w:t>存货的采购成本，不包括（</w:t>
        <w:tab/>
      </w:r>
      <w:r>
        <w:rPr>
          <w:spacing w:val="-120"/>
          <w:sz w:val="24"/>
        </w:rPr>
        <w:t>）</w:t>
      </w:r>
      <w:r>
        <w:rPr>
          <w:sz w:val="24"/>
        </w:rPr>
        <w:t>。</w:t>
      </w:r>
    </w:p>
    <w:p>
      <w:pPr>
        <w:spacing w:after="0" w:line="240" w:lineRule="auto"/>
        <w:jc w:val="left"/>
        <w:rPr>
          <w:sz w:val="24"/>
        </w:rPr>
        <w:sectPr>
          <w:pgSz w:w="11910" w:h="16840"/>
          <w:pgMar w:top="1460" w:bottom="280" w:left="1580" w:right="1060"/>
        </w:sectPr>
      </w:pPr>
    </w:p>
    <w:p>
      <w:pPr>
        <w:pStyle w:val="ListParagraph"/>
        <w:numPr>
          <w:ilvl w:val="1"/>
          <w:numId w:val="3"/>
        </w:numPr>
        <w:tabs>
          <w:tab w:pos="1020" w:val="left" w:leader="none"/>
        </w:tabs>
        <w:spacing w:line="240" w:lineRule="auto" w:before="44" w:after="0"/>
        <w:ind w:left="1019" w:right="0" w:hanging="320"/>
        <w:jc w:val="left"/>
        <w:rPr>
          <w:rFonts w:ascii="Calibri" w:eastAsia="Calibri"/>
          <w:sz w:val="24"/>
        </w:rPr>
      </w:pPr>
      <w:r>
        <w:rPr>
          <w:sz w:val="24"/>
        </w:rPr>
        <w:t>购买价款、进口关税和其他税费</w:t>
      </w:r>
    </w:p>
    <w:p>
      <w:pPr>
        <w:pStyle w:val="ListParagraph"/>
        <w:numPr>
          <w:ilvl w:val="1"/>
          <w:numId w:val="3"/>
        </w:numPr>
        <w:tabs>
          <w:tab w:pos="1012" w:val="left" w:leader="none"/>
        </w:tabs>
        <w:spacing w:line="240" w:lineRule="auto" w:before="160" w:after="0"/>
        <w:ind w:left="1011" w:right="0" w:hanging="312"/>
        <w:jc w:val="left"/>
        <w:rPr>
          <w:rFonts w:ascii="Calibri" w:eastAsia="Calibri"/>
          <w:sz w:val="24"/>
        </w:rPr>
      </w:pPr>
      <w:r>
        <w:rPr>
          <w:sz w:val="24"/>
        </w:rPr>
        <w:t>运输费、装卸费</w:t>
      </w:r>
    </w:p>
    <w:p>
      <w:pPr>
        <w:pStyle w:val="ListParagraph"/>
        <w:numPr>
          <w:ilvl w:val="1"/>
          <w:numId w:val="3"/>
        </w:numPr>
        <w:tabs>
          <w:tab w:pos="1009" w:val="left" w:leader="none"/>
        </w:tabs>
        <w:spacing w:line="240" w:lineRule="auto" w:before="161" w:after="0"/>
        <w:ind w:left="1008" w:right="0" w:hanging="309"/>
        <w:jc w:val="left"/>
        <w:rPr>
          <w:rFonts w:ascii="Calibri" w:eastAsia="Calibri"/>
          <w:sz w:val="24"/>
        </w:rPr>
      </w:pPr>
      <w:r>
        <w:rPr>
          <w:sz w:val="24"/>
        </w:rPr>
        <w:t>保险费以及其他可归属于存货采购成本的费用</w:t>
      </w:r>
    </w:p>
    <w:p>
      <w:pPr>
        <w:pStyle w:val="ListParagraph"/>
        <w:numPr>
          <w:ilvl w:val="1"/>
          <w:numId w:val="3"/>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制造费用</w:t>
      </w:r>
    </w:p>
    <w:p>
      <w:pPr>
        <w:pStyle w:val="ListParagraph"/>
        <w:numPr>
          <w:ilvl w:val="0"/>
          <w:numId w:val="3"/>
        </w:numPr>
        <w:tabs>
          <w:tab w:pos="405" w:val="left" w:leader="none"/>
          <w:tab w:pos="7981" w:val="left" w:leader="none"/>
        </w:tabs>
        <w:spacing w:line="364" w:lineRule="auto" w:before="106" w:after="0"/>
        <w:ind w:left="220" w:right="617" w:firstLine="0"/>
        <w:jc w:val="left"/>
        <w:rPr>
          <w:sz w:val="24"/>
        </w:rPr>
      </w:pPr>
      <w:r>
        <w:rPr>
          <w:sz w:val="24"/>
        </w:rPr>
        <w:t>某公司支付银行存款购买待安装生产设备</w:t>
      </w:r>
      <w:r>
        <w:rPr>
          <w:spacing w:val="-51"/>
          <w:sz w:val="24"/>
        </w:rPr>
        <w:t> </w:t>
      </w:r>
      <w:r>
        <w:rPr>
          <w:rFonts w:ascii="Calibri" w:eastAsia="Calibri"/>
          <w:sz w:val="24"/>
        </w:rPr>
        <w:t>100000</w:t>
      </w:r>
      <w:r>
        <w:rPr>
          <w:rFonts w:ascii="Calibri" w:eastAsia="Calibri"/>
          <w:spacing w:val="15"/>
          <w:sz w:val="24"/>
        </w:rPr>
        <w:t> </w:t>
      </w:r>
      <w:r>
        <w:rPr>
          <w:sz w:val="24"/>
        </w:rPr>
        <w:t>元，增值税额</w:t>
      </w:r>
      <w:r>
        <w:rPr>
          <w:spacing w:val="-50"/>
          <w:sz w:val="24"/>
        </w:rPr>
        <w:t> </w:t>
      </w:r>
      <w:r>
        <w:rPr>
          <w:rFonts w:ascii="Calibri" w:eastAsia="Calibri"/>
          <w:sz w:val="24"/>
        </w:rPr>
        <w:t>13000</w:t>
      </w:r>
      <w:r>
        <w:rPr>
          <w:rFonts w:ascii="Calibri" w:eastAsia="Calibri"/>
          <w:spacing w:val="15"/>
          <w:sz w:val="24"/>
        </w:rPr>
        <w:t> </w:t>
      </w:r>
      <w:r>
        <w:rPr>
          <w:sz w:val="24"/>
        </w:rPr>
        <w:t>元，本</w:t>
      </w:r>
      <w:r>
        <w:rPr>
          <w:spacing w:val="-1"/>
          <w:sz w:val="24"/>
        </w:rPr>
        <w:t>单</w:t>
      </w:r>
      <w:r>
        <w:rPr>
          <w:sz w:val="24"/>
        </w:rPr>
        <w:t>位职工安装酬金</w:t>
      </w:r>
      <w:r>
        <w:rPr>
          <w:spacing w:val="-60"/>
          <w:sz w:val="24"/>
        </w:rPr>
        <w:t> </w:t>
      </w:r>
      <w:r>
        <w:rPr>
          <w:rFonts w:ascii="Calibri" w:eastAsia="Calibri"/>
          <w:sz w:val="24"/>
        </w:rPr>
        <w:t>50000</w:t>
      </w:r>
      <w:r>
        <w:rPr>
          <w:rFonts w:ascii="Calibri" w:eastAsia="Calibri"/>
          <w:spacing w:val="5"/>
          <w:sz w:val="24"/>
        </w:rPr>
        <w:t> </w:t>
      </w:r>
      <w:r>
        <w:rPr>
          <w:sz w:val="24"/>
        </w:rPr>
        <w:t>元</w:t>
      </w:r>
      <w:r>
        <w:rPr>
          <w:spacing w:val="-56"/>
          <w:sz w:val="24"/>
        </w:rPr>
        <w:t>，</w:t>
      </w:r>
      <w:r>
        <w:rPr>
          <w:sz w:val="24"/>
        </w:rPr>
        <w:t>安装完工</w:t>
      </w:r>
      <w:r>
        <w:rPr>
          <w:spacing w:val="-56"/>
          <w:sz w:val="24"/>
        </w:rPr>
        <w:t>，</w:t>
      </w:r>
      <w:r>
        <w:rPr>
          <w:sz w:val="24"/>
        </w:rPr>
        <w:t>该固定资产的入账成本应该</w:t>
      </w:r>
      <w:r>
        <w:rPr>
          <w:spacing w:val="-56"/>
          <w:sz w:val="24"/>
        </w:rPr>
        <w:t>为</w:t>
      </w:r>
      <w:r>
        <w:rPr>
          <w:sz w:val="24"/>
        </w:rPr>
        <w:t>（</w:t>
        <w:tab/>
      </w:r>
      <w:r>
        <w:rPr>
          <w:spacing w:val="-56"/>
          <w:sz w:val="24"/>
        </w:rPr>
        <w:t>）</w:t>
      </w:r>
      <w:r>
        <w:rPr>
          <w:spacing w:val="-1"/>
          <w:sz w:val="24"/>
        </w:rPr>
        <w:t>元</w:t>
      </w:r>
      <w:r>
        <w:rPr>
          <w:sz w:val="24"/>
        </w:rPr>
        <w:t>。</w:t>
      </w:r>
    </w:p>
    <w:p>
      <w:pPr>
        <w:spacing w:before="7"/>
        <w:ind w:left="700" w:right="0" w:firstLine="0"/>
        <w:jc w:val="left"/>
        <w:rPr>
          <w:rFonts w:ascii="Calibri"/>
          <w:b/>
          <w:sz w:val="24"/>
        </w:rPr>
      </w:pPr>
      <w:r>
        <w:rPr>
          <w:rFonts w:ascii="Calibri"/>
          <w:b/>
          <w:color w:val="FF0000"/>
          <w:sz w:val="24"/>
        </w:rPr>
        <w:t>A.</w:t>
      </w:r>
      <w:r>
        <w:rPr>
          <w:rFonts w:ascii="Calibri"/>
          <w:b/>
          <w:color w:val="FF0000"/>
          <w:spacing w:val="-1"/>
          <w:sz w:val="24"/>
        </w:rPr>
        <w:t> </w:t>
      </w:r>
      <w:r>
        <w:rPr>
          <w:rFonts w:ascii="Calibri"/>
          <w:b/>
          <w:color w:val="FF0000"/>
          <w:sz w:val="24"/>
        </w:rPr>
        <w:t>150000</w:t>
      </w:r>
    </w:p>
    <w:p>
      <w:pPr>
        <w:pStyle w:val="BodyText"/>
        <w:spacing w:before="175"/>
        <w:ind w:left="700"/>
        <w:rPr>
          <w:rFonts w:ascii="Calibri"/>
        </w:rPr>
      </w:pPr>
      <w:r>
        <w:rPr>
          <w:rFonts w:ascii="Calibri"/>
        </w:rPr>
        <w:t>B.</w:t>
      </w:r>
      <w:r>
        <w:rPr>
          <w:rFonts w:ascii="Calibri"/>
          <w:spacing w:val="-1"/>
        </w:rPr>
        <w:t> </w:t>
      </w:r>
      <w:r>
        <w:rPr>
          <w:rFonts w:ascii="Calibri"/>
        </w:rPr>
        <w:t>163000</w:t>
      </w:r>
    </w:p>
    <w:p>
      <w:pPr>
        <w:pStyle w:val="BodyText"/>
        <w:spacing w:before="175"/>
        <w:ind w:left="700"/>
        <w:rPr>
          <w:rFonts w:ascii="Calibri"/>
        </w:rPr>
      </w:pPr>
      <w:r>
        <w:rPr>
          <w:rFonts w:ascii="Calibri"/>
        </w:rPr>
        <w:t>C.</w:t>
      </w:r>
      <w:r>
        <w:rPr>
          <w:rFonts w:ascii="Calibri"/>
          <w:spacing w:val="-2"/>
        </w:rPr>
        <w:t> </w:t>
      </w:r>
      <w:r>
        <w:rPr>
          <w:rFonts w:ascii="Calibri"/>
        </w:rPr>
        <w:t>100000</w:t>
      </w:r>
    </w:p>
    <w:p>
      <w:pPr>
        <w:pStyle w:val="BodyText"/>
        <w:spacing w:before="175"/>
        <w:ind w:left="700"/>
        <w:rPr>
          <w:rFonts w:ascii="Calibri"/>
        </w:rPr>
      </w:pPr>
      <w:r>
        <w:rPr>
          <w:rFonts w:ascii="Calibri"/>
        </w:rPr>
        <w:t>D.</w:t>
      </w:r>
      <w:r>
        <w:rPr>
          <w:rFonts w:ascii="Calibri"/>
          <w:spacing w:val="-1"/>
        </w:rPr>
        <w:t> </w:t>
      </w:r>
      <w:r>
        <w:rPr>
          <w:rFonts w:ascii="Calibri"/>
        </w:rPr>
        <w:t>63000</w:t>
      </w:r>
    </w:p>
    <w:p>
      <w:pPr>
        <w:pStyle w:val="ListParagraph"/>
        <w:numPr>
          <w:ilvl w:val="0"/>
          <w:numId w:val="3"/>
        </w:numPr>
        <w:tabs>
          <w:tab w:pos="404" w:val="left" w:leader="none"/>
        </w:tabs>
        <w:spacing w:line="240" w:lineRule="auto" w:before="169" w:after="0"/>
        <w:ind w:left="403" w:right="0" w:hanging="184"/>
        <w:jc w:val="left"/>
        <w:rPr>
          <w:sz w:val="24"/>
        </w:rPr>
      </w:pPr>
      <w:r>
        <w:rPr>
          <w:sz w:val="24"/>
        </w:rPr>
        <w:t>下列属于长期资产的是（</w:t>
      </w:r>
      <w:r>
        <w:rPr>
          <w:spacing w:val="-120"/>
          <w:sz w:val="24"/>
        </w:rPr>
        <w:t>）</w:t>
      </w:r>
      <w:r>
        <w:rPr>
          <w:sz w:val="24"/>
        </w:rPr>
        <w:t>。</w:t>
      </w:r>
    </w:p>
    <w:p>
      <w:pPr>
        <w:pStyle w:val="ListParagraph"/>
        <w:numPr>
          <w:ilvl w:val="1"/>
          <w:numId w:val="3"/>
        </w:numPr>
        <w:tabs>
          <w:tab w:pos="1020" w:val="left" w:leader="none"/>
        </w:tabs>
        <w:spacing w:line="240" w:lineRule="auto" w:before="161" w:after="0"/>
        <w:ind w:left="1019" w:right="0" w:hanging="320"/>
        <w:jc w:val="left"/>
        <w:rPr>
          <w:rFonts w:ascii="Calibri" w:eastAsia="Calibri"/>
          <w:sz w:val="24"/>
        </w:rPr>
      </w:pPr>
      <w:r>
        <w:rPr>
          <w:sz w:val="24"/>
        </w:rPr>
        <w:t>无形资产</w:t>
      </w:r>
    </w:p>
    <w:p>
      <w:pPr>
        <w:pStyle w:val="ListParagraph"/>
        <w:numPr>
          <w:ilvl w:val="1"/>
          <w:numId w:val="3"/>
        </w:numPr>
        <w:tabs>
          <w:tab w:pos="1012" w:val="left" w:leader="none"/>
        </w:tabs>
        <w:spacing w:line="240" w:lineRule="auto" w:before="160" w:after="0"/>
        <w:ind w:left="1011" w:right="0" w:hanging="312"/>
        <w:jc w:val="left"/>
        <w:rPr>
          <w:rFonts w:ascii="Calibri" w:eastAsia="Calibri"/>
          <w:sz w:val="24"/>
        </w:rPr>
      </w:pPr>
      <w:r>
        <w:rPr>
          <w:sz w:val="24"/>
        </w:rPr>
        <w:t>持有待售资产</w:t>
      </w:r>
    </w:p>
    <w:p>
      <w:pPr>
        <w:pStyle w:val="ListParagraph"/>
        <w:numPr>
          <w:ilvl w:val="1"/>
          <w:numId w:val="3"/>
        </w:numPr>
        <w:tabs>
          <w:tab w:pos="1012" w:val="left" w:leader="none"/>
        </w:tabs>
        <w:spacing w:line="240" w:lineRule="auto" w:before="82" w:after="0"/>
        <w:ind w:left="1011" w:right="0" w:hanging="312"/>
        <w:jc w:val="left"/>
        <w:rPr>
          <w:rFonts w:ascii="Calibri" w:eastAsia="Calibri"/>
          <w:b/>
          <w:color w:val="FF0000"/>
          <w:sz w:val="24"/>
        </w:rPr>
      </w:pPr>
      <w:r>
        <w:rPr>
          <w:rFonts w:ascii="Microsoft JhengHei" w:eastAsia="Microsoft JhengHei" w:hint="eastAsia"/>
          <w:b/>
          <w:color w:val="FF0000"/>
          <w:sz w:val="24"/>
        </w:rPr>
        <w:t>存货</w:t>
      </w:r>
    </w:p>
    <w:p>
      <w:pPr>
        <w:pStyle w:val="ListParagraph"/>
        <w:numPr>
          <w:ilvl w:val="1"/>
          <w:numId w:val="3"/>
        </w:numPr>
        <w:tabs>
          <w:tab w:pos="1029" w:val="left" w:leader="none"/>
        </w:tabs>
        <w:spacing w:line="240" w:lineRule="auto" w:before="105" w:after="0"/>
        <w:ind w:left="1028" w:right="0" w:hanging="329"/>
        <w:jc w:val="left"/>
        <w:rPr>
          <w:rFonts w:ascii="Calibri" w:eastAsia="Calibri"/>
          <w:sz w:val="24"/>
        </w:rPr>
      </w:pPr>
      <w:r>
        <w:rPr>
          <w:sz w:val="24"/>
        </w:rPr>
        <w:t>交易性金融资产</w:t>
      </w:r>
    </w:p>
    <w:p>
      <w:pPr>
        <w:pStyle w:val="ListParagraph"/>
        <w:numPr>
          <w:ilvl w:val="0"/>
          <w:numId w:val="3"/>
        </w:numPr>
        <w:tabs>
          <w:tab w:pos="404" w:val="left" w:leader="none"/>
          <w:tab w:pos="5184" w:val="left" w:leader="none"/>
        </w:tabs>
        <w:spacing w:line="364" w:lineRule="auto" w:before="161" w:after="0"/>
        <w:ind w:left="220" w:right="737" w:firstLine="0"/>
        <w:jc w:val="left"/>
        <w:rPr>
          <w:sz w:val="24"/>
        </w:rPr>
      </w:pPr>
      <w:r>
        <w:rPr>
          <w:sz w:val="24"/>
        </w:rPr>
        <w:t>一般说来，投资方持有被投资方股份达到（</w:t>
        <w:tab/>
      </w:r>
      <w:r>
        <w:rPr>
          <w:spacing w:val="-2"/>
          <w:sz w:val="24"/>
        </w:rPr>
        <w:t>）以上，就</w:t>
      </w:r>
      <w:r>
        <w:rPr>
          <w:spacing w:val="-1"/>
          <w:sz w:val="24"/>
        </w:rPr>
        <w:t>足以使该股份公司形</w:t>
      </w:r>
      <w:r>
        <w:rPr>
          <w:sz w:val="24"/>
        </w:rPr>
        <w:t>成控制。</w:t>
      </w:r>
    </w:p>
    <w:p>
      <w:pPr>
        <w:spacing w:before="7"/>
        <w:ind w:left="700" w:right="0" w:firstLine="0"/>
        <w:jc w:val="left"/>
        <w:rPr>
          <w:rFonts w:ascii="Calibri"/>
          <w:b/>
          <w:sz w:val="24"/>
        </w:rPr>
      </w:pPr>
      <w:r>
        <w:rPr>
          <w:rFonts w:ascii="Calibri"/>
          <w:b/>
          <w:color w:val="FF0000"/>
          <w:sz w:val="24"/>
        </w:rPr>
        <w:t>A. 50%</w:t>
      </w:r>
    </w:p>
    <w:p>
      <w:pPr>
        <w:pStyle w:val="BodyText"/>
        <w:spacing w:before="175"/>
        <w:ind w:left="700"/>
        <w:rPr>
          <w:rFonts w:ascii="Calibri"/>
        </w:rPr>
      </w:pPr>
      <w:r>
        <w:rPr>
          <w:rFonts w:ascii="Calibri"/>
        </w:rPr>
        <w:t>B. 60%</w:t>
      </w:r>
    </w:p>
    <w:p>
      <w:pPr>
        <w:pStyle w:val="BodyText"/>
        <w:spacing w:before="175"/>
        <w:ind w:left="700"/>
        <w:rPr>
          <w:rFonts w:ascii="Calibri"/>
        </w:rPr>
      </w:pPr>
      <w:r>
        <w:rPr>
          <w:rFonts w:ascii="Calibri"/>
        </w:rPr>
        <w:t>C.</w:t>
      </w:r>
      <w:r>
        <w:rPr>
          <w:rFonts w:ascii="Calibri"/>
          <w:spacing w:val="-1"/>
        </w:rPr>
        <w:t> </w:t>
      </w:r>
      <w:r>
        <w:rPr>
          <w:rFonts w:ascii="Calibri"/>
        </w:rPr>
        <w:t>40%</w:t>
      </w:r>
    </w:p>
    <w:p>
      <w:pPr>
        <w:pStyle w:val="BodyText"/>
        <w:spacing w:before="175"/>
        <w:ind w:left="700"/>
        <w:rPr>
          <w:rFonts w:ascii="Calibri"/>
        </w:rPr>
      </w:pPr>
      <w:r>
        <w:rPr>
          <w:rFonts w:ascii="Calibri"/>
        </w:rPr>
        <w:t>D.</w:t>
      </w:r>
      <w:r>
        <w:rPr>
          <w:rFonts w:ascii="Calibri"/>
          <w:spacing w:val="-1"/>
        </w:rPr>
        <w:t> </w:t>
      </w:r>
      <w:r>
        <w:rPr>
          <w:rFonts w:ascii="Calibri"/>
        </w:rPr>
        <w:t>30%</w:t>
      </w:r>
    </w:p>
    <w:p>
      <w:pPr>
        <w:pStyle w:val="ListParagraph"/>
        <w:numPr>
          <w:ilvl w:val="0"/>
          <w:numId w:val="3"/>
        </w:numPr>
        <w:tabs>
          <w:tab w:pos="404" w:val="left" w:leader="none"/>
          <w:tab w:pos="2619" w:val="left" w:leader="none"/>
        </w:tabs>
        <w:spacing w:line="364" w:lineRule="auto" w:before="169" w:after="0"/>
        <w:ind w:left="220" w:right="737" w:firstLine="0"/>
        <w:jc w:val="left"/>
        <w:rPr>
          <w:sz w:val="24"/>
        </w:rPr>
      </w:pPr>
      <w:r>
        <w:rPr>
          <w:spacing w:val="-2"/>
          <w:sz w:val="24"/>
        </w:rPr>
        <w:t>贴现，则</w:t>
      </w:r>
      <w:r>
        <w:rPr>
          <w:spacing w:val="-1"/>
          <w:sz w:val="24"/>
        </w:rPr>
        <w:t>是指远期汇票经承兑后，汇票持有人在汇票尚未到期前在贴现市场上</w:t>
      </w:r>
      <w:r>
        <w:rPr>
          <w:sz w:val="24"/>
        </w:rPr>
        <w:t>转让，受让人扣除（</w:t>
        <w:tab/>
        <w:t>）后将票款付给出让人的行为。</w:t>
      </w:r>
    </w:p>
    <w:p>
      <w:pPr>
        <w:pStyle w:val="ListParagraph"/>
        <w:numPr>
          <w:ilvl w:val="1"/>
          <w:numId w:val="3"/>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贴现息</w:t>
      </w:r>
    </w:p>
    <w:p>
      <w:pPr>
        <w:pStyle w:val="ListParagraph"/>
        <w:numPr>
          <w:ilvl w:val="1"/>
          <w:numId w:val="3"/>
        </w:numPr>
        <w:tabs>
          <w:tab w:pos="1012" w:val="left" w:leader="none"/>
        </w:tabs>
        <w:spacing w:line="240" w:lineRule="auto" w:before="106" w:after="0"/>
        <w:ind w:left="1011" w:right="0" w:hanging="312"/>
        <w:jc w:val="left"/>
        <w:rPr>
          <w:rFonts w:ascii="Calibri" w:eastAsia="Calibri"/>
          <w:sz w:val="24"/>
        </w:rPr>
      </w:pPr>
      <w:r>
        <w:rPr>
          <w:sz w:val="24"/>
        </w:rPr>
        <w:t>手续费</w:t>
      </w:r>
    </w:p>
    <w:p>
      <w:pPr>
        <w:pStyle w:val="ListParagraph"/>
        <w:numPr>
          <w:ilvl w:val="1"/>
          <w:numId w:val="3"/>
        </w:numPr>
        <w:tabs>
          <w:tab w:pos="1009" w:val="left" w:leader="none"/>
        </w:tabs>
        <w:spacing w:line="240" w:lineRule="auto" w:before="161" w:after="0"/>
        <w:ind w:left="1008" w:right="0" w:hanging="309"/>
        <w:jc w:val="left"/>
        <w:rPr>
          <w:rFonts w:ascii="Calibri" w:eastAsia="Calibri"/>
          <w:sz w:val="24"/>
        </w:rPr>
      </w:pPr>
      <w:r>
        <w:rPr>
          <w:sz w:val="24"/>
        </w:rPr>
        <w:t>罚款</w:t>
      </w:r>
    </w:p>
    <w:p>
      <w:pPr>
        <w:pStyle w:val="ListParagraph"/>
        <w:numPr>
          <w:ilvl w:val="1"/>
          <w:numId w:val="3"/>
        </w:numPr>
        <w:tabs>
          <w:tab w:pos="1029" w:val="left" w:leader="none"/>
        </w:tabs>
        <w:spacing w:line="240" w:lineRule="auto" w:before="160" w:after="0"/>
        <w:ind w:left="1028" w:right="0" w:hanging="329"/>
        <w:jc w:val="left"/>
        <w:rPr>
          <w:rFonts w:ascii="Calibri" w:eastAsia="Calibri"/>
          <w:sz w:val="24"/>
        </w:rPr>
      </w:pPr>
      <w:r>
        <w:rPr>
          <w:sz w:val="24"/>
        </w:rPr>
        <w:t>管理费</w:t>
      </w:r>
    </w:p>
    <w:p>
      <w:pPr>
        <w:spacing w:before="81"/>
        <w:ind w:left="220" w:right="0" w:firstLine="0"/>
        <w:jc w:val="left"/>
        <w:rPr>
          <w:rFonts w:ascii="Microsoft JhengHei" w:eastAsia="Microsoft JhengHei" w:hint="eastAsia"/>
          <w:b/>
          <w:sz w:val="24"/>
        </w:rPr>
      </w:pPr>
      <w:r>
        <w:rPr>
          <w:rFonts w:ascii="Microsoft JhengHei" w:eastAsia="Microsoft JhengHei" w:hint="eastAsia"/>
          <w:b/>
          <w:sz w:val="24"/>
        </w:rPr>
        <w:t>二、多项选择题（每题 </w:t>
      </w:r>
      <w:r>
        <w:rPr>
          <w:rFonts w:ascii="Calibri" w:eastAsia="Calibri"/>
          <w:b/>
          <w:sz w:val="24"/>
        </w:rPr>
        <w:t>5</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25</w:t>
      </w:r>
      <w:r>
        <w:rPr>
          <w:rFonts w:ascii="Calibri" w:eastAsia="Calibri"/>
          <w:b/>
          <w:spacing w:val="6"/>
          <w:sz w:val="24"/>
        </w:rPr>
        <w:t> </w:t>
      </w:r>
      <w:r>
        <w:rPr>
          <w:rFonts w:ascii="Microsoft JhengHei" w:eastAsia="Microsoft JhengHei" w:hint="eastAsia"/>
          <w:b/>
          <w:sz w:val="24"/>
        </w:rPr>
        <w:t>分）</w:t>
      </w:r>
    </w:p>
    <w:p>
      <w:pPr>
        <w:pStyle w:val="ListParagraph"/>
        <w:numPr>
          <w:ilvl w:val="0"/>
          <w:numId w:val="3"/>
        </w:numPr>
        <w:tabs>
          <w:tab w:pos="404" w:val="left" w:leader="none"/>
          <w:tab w:pos="5682" w:val="left" w:leader="none"/>
        </w:tabs>
        <w:spacing w:line="240" w:lineRule="auto" w:before="106" w:after="0"/>
        <w:ind w:left="403" w:right="0" w:hanging="184"/>
        <w:jc w:val="left"/>
        <w:rPr>
          <w:sz w:val="24"/>
        </w:rPr>
      </w:pPr>
      <w:r>
        <w:rPr>
          <w:sz w:val="24"/>
        </w:rPr>
        <w:t>从国际会计惯例来看，坏账准备的计提方法有（</w:t>
        <w:tab/>
      </w:r>
      <w:r>
        <w:rPr>
          <w:spacing w:val="-120"/>
          <w:sz w:val="24"/>
        </w:rPr>
        <w:t>）</w:t>
      </w:r>
      <w:r>
        <w:rPr>
          <w:sz w:val="24"/>
        </w:rPr>
        <w:t>。</w:t>
      </w:r>
    </w:p>
    <w:p>
      <w:pPr>
        <w:spacing w:after="0" w:line="240" w:lineRule="auto"/>
        <w:jc w:val="left"/>
        <w:rPr>
          <w:sz w:val="24"/>
        </w:rPr>
        <w:sectPr>
          <w:pgSz w:w="11910" w:h="16840"/>
          <w:pgMar w:top="1460" w:bottom="280" w:left="1580" w:right="1060"/>
        </w:sectPr>
      </w:pPr>
    </w:p>
    <w:p>
      <w:pPr>
        <w:pStyle w:val="ListParagraph"/>
        <w:numPr>
          <w:ilvl w:val="1"/>
          <w:numId w:val="3"/>
        </w:numPr>
        <w:tabs>
          <w:tab w:pos="1030" w:val="left" w:leader="none"/>
        </w:tabs>
        <w:spacing w:line="406"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余额百分比法</w:t>
      </w:r>
    </w:p>
    <w:p>
      <w:pPr>
        <w:pStyle w:val="ListParagraph"/>
        <w:numPr>
          <w:ilvl w:val="1"/>
          <w:numId w:val="3"/>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账龄分析法</w:t>
      </w:r>
    </w:p>
    <w:p>
      <w:pPr>
        <w:pStyle w:val="ListParagraph"/>
        <w:numPr>
          <w:ilvl w:val="1"/>
          <w:numId w:val="3"/>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销货百分比法</w:t>
      </w:r>
    </w:p>
    <w:p>
      <w:pPr>
        <w:pStyle w:val="ListParagraph"/>
        <w:numPr>
          <w:ilvl w:val="1"/>
          <w:numId w:val="3"/>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个别认定法</w:t>
      </w:r>
    </w:p>
    <w:p>
      <w:pPr>
        <w:pStyle w:val="ListParagraph"/>
        <w:numPr>
          <w:ilvl w:val="0"/>
          <w:numId w:val="3"/>
        </w:numPr>
        <w:tabs>
          <w:tab w:pos="404" w:val="left" w:leader="none"/>
          <w:tab w:pos="3282" w:val="left" w:leader="none"/>
        </w:tabs>
        <w:spacing w:line="240" w:lineRule="auto" w:before="106" w:after="0"/>
        <w:ind w:left="403" w:right="0" w:hanging="184"/>
        <w:jc w:val="left"/>
        <w:rPr>
          <w:sz w:val="24"/>
        </w:rPr>
      </w:pPr>
      <w:r>
        <w:rPr>
          <w:sz w:val="24"/>
        </w:rPr>
        <w:t>下列属于未达账项的有（</w:t>
        <w:tab/>
      </w:r>
      <w:r>
        <w:rPr>
          <w:spacing w:val="-120"/>
          <w:sz w:val="24"/>
        </w:rPr>
        <w:t>）</w:t>
      </w:r>
      <w:r>
        <w:rPr>
          <w:sz w:val="24"/>
        </w:rPr>
        <w:t>。</w:t>
      </w:r>
    </w:p>
    <w:p>
      <w:pPr>
        <w:pStyle w:val="ListParagraph"/>
        <w:numPr>
          <w:ilvl w:val="1"/>
          <w:numId w:val="3"/>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银行对账单已经记录收到、但企业银行存款日记账尚没有记录的账项</w:t>
      </w:r>
    </w:p>
    <w:p>
      <w:pPr>
        <w:pStyle w:val="ListParagraph"/>
        <w:numPr>
          <w:ilvl w:val="1"/>
          <w:numId w:val="3"/>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银行对账单已经记录付出、但企业银行存款日记账尚没有记录的账项</w:t>
      </w:r>
    </w:p>
    <w:p>
      <w:pPr>
        <w:pStyle w:val="ListParagraph"/>
        <w:numPr>
          <w:ilvl w:val="1"/>
          <w:numId w:val="3"/>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企业银行存款日记账已经记录、银行对账单尚没有记录的账项</w:t>
      </w:r>
    </w:p>
    <w:p>
      <w:pPr>
        <w:pStyle w:val="ListParagraph"/>
        <w:numPr>
          <w:ilvl w:val="1"/>
          <w:numId w:val="3"/>
        </w:numPr>
        <w:tabs>
          <w:tab w:pos="1029" w:val="left" w:leader="none"/>
        </w:tabs>
        <w:spacing w:line="240" w:lineRule="auto" w:before="106" w:after="0"/>
        <w:ind w:left="1028" w:right="0" w:hanging="329"/>
        <w:jc w:val="left"/>
        <w:rPr>
          <w:rFonts w:ascii="Calibri" w:eastAsia="Calibri"/>
          <w:sz w:val="24"/>
        </w:rPr>
      </w:pPr>
      <w:r>
        <w:rPr>
          <w:sz w:val="24"/>
        </w:rPr>
        <w:t>银行对账单上没有记录、企业银行存款日记账上也没有记录的账项</w:t>
      </w:r>
    </w:p>
    <w:p>
      <w:pPr>
        <w:pStyle w:val="ListParagraph"/>
        <w:numPr>
          <w:ilvl w:val="0"/>
          <w:numId w:val="3"/>
        </w:numPr>
        <w:tabs>
          <w:tab w:pos="404" w:val="left" w:leader="none"/>
          <w:tab w:pos="5922" w:val="left" w:leader="none"/>
        </w:tabs>
        <w:spacing w:line="240" w:lineRule="auto" w:before="161" w:after="0"/>
        <w:ind w:left="403" w:right="0" w:hanging="184"/>
        <w:jc w:val="left"/>
        <w:rPr>
          <w:sz w:val="24"/>
        </w:rPr>
      </w:pPr>
      <w:r>
        <w:rPr>
          <w:sz w:val="24"/>
        </w:rPr>
        <w:t>我国企业会计准则规定的发出存货的计价方法有（</w:t>
        <w:tab/>
      </w:r>
      <w:r>
        <w:rPr>
          <w:spacing w:val="-120"/>
          <w:sz w:val="24"/>
        </w:rPr>
        <w:t>）</w:t>
      </w:r>
      <w:r>
        <w:rPr>
          <w:sz w:val="24"/>
        </w:rPr>
        <w:t>。</w:t>
      </w:r>
    </w:p>
    <w:p>
      <w:pPr>
        <w:pStyle w:val="ListParagraph"/>
        <w:numPr>
          <w:ilvl w:val="1"/>
          <w:numId w:val="3"/>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先进先出法</w:t>
      </w:r>
    </w:p>
    <w:p>
      <w:pPr>
        <w:pStyle w:val="ListParagraph"/>
        <w:numPr>
          <w:ilvl w:val="1"/>
          <w:numId w:val="3"/>
        </w:numPr>
        <w:tabs>
          <w:tab w:pos="1012" w:val="left" w:leader="none"/>
        </w:tabs>
        <w:spacing w:line="240" w:lineRule="auto" w:before="106" w:after="0"/>
        <w:ind w:left="1011" w:right="0" w:hanging="312"/>
        <w:jc w:val="left"/>
        <w:rPr>
          <w:rFonts w:ascii="Calibri" w:eastAsia="Calibri"/>
          <w:sz w:val="24"/>
        </w:rPr>
      </w:pPr>
      <w:r>
        <w:rPr>
          <w:sz w:val="24"/>
        </w:rPr>
        <w:t>后进先出法</w:t>
      </w:r>
    </w:p>
    <w:p>
      <w:pPr>
        <w:pStyle w:val="ListParagraph"/>
        <w:numPr>
          <w:ilvl w:val="1"/>
          <w:numId w:val="3"/>
        </w:numPr>
        <w:tabs>
          <w:tab w:pos="1012" w:val="left" w:leader="none"/>
        </w:tabs>
        <w:spacing w:line="240" w:lineRule="auto" w:before="81" w:after="0"/>
        <w:ind w:left="1011" w:right="0" w:hanging="312"/>
        <w:jc w:val="left"/>
        <w:rPr>
          <w:rFonts w:ascii="Calibri" w:eastAsia="Calibri"/>
          <w:b/>
          <w:color w:val="FF0000"/>
          <w:sz w:val="24"/>
        </w:rPr>
      </w:pPr>
      <w:r>
        <w:rPr>
          <w:rFonts w:ascii="Microsoft JhengHei" w:eastAsia="Microsoft JhengHei" w:hint="eastAsia"/>
          <w:b/>
          <w:color w:val="FF0000"/>
          <w:sz w:val="24"/>
        </w:rPr>
        <w:t>加权平均法</w:t>
      </w:r>
    </w:p>
    <w:p>
      <w:pPr>
        <w:pStyle w:val="ListParagraph"/>
        <w:numPr>
          <w:ilvl w:val="1"/>
          <w:numId w:val="3"/>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个别计价法</w:t>
      </w:r>
    </w:p>
    <w:p>
      <w:pPr>
        <w:pStyle w:val="ListParagraph"/>
        <w:numPr>
          <w:ilvl w:val="0"/>
          <w:numId w:val="3"/>
        </w:numPr>
        <w:tabs>
          <w:tab w:pos="404" w:val="left" w:leader="none"/>
          <w:tab w:pos="2322" w:val="left" w:leader="none"/>
        </w:tabs>
        <w:spacing w:line="240" w:lineRule="auto" w:before="106" w:after="0"/>
        <w:ind w:left="403" w:right="0" w:hanging="184"/>
        <w:jc w:val="left"/>
        <w:rPr>
          <w:sz w:val="24"/>
        </w:rPr>
      </w:pPr>
      <w:r>
        <w:rPr>
          <w:sz w:val="24"/>
        </w:rPr>
        <w:t>无形资产包括（</w:t>
        <w:tab/>
      </w:r>
      <w:r>
        <w:rPr>
          <w:spacing w:val="-120"/>
          <w:sz w:val="24"/>
        </w:rPr>
        <w:t>）</w:t>
      </w:r>
      <w:r>
        <w:rPr>
          <w:sz w:val="24"/>
        </w:rPr>
        <w:t>。</w:t>
      </w:r>
    </w:p>
    <w:p>
      <w:pPr>
        <w:pStyle w:val="ListParagraph"/>
        <w:numPr>
          <w:ilvl w:val="1"/>
          <w:numId w:val="3"/>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专利权</w:t>
      </w:r>
    </w:p>
    <w:p>
      <w:pPr>
        <w:pStyle w:val="ListParagraph"/>
        <w:numPr>
          <w:ilvl w:val="1"/>
          <w:numId w:val="3"/>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商标权</w:t>
      </w:r>
    </w:p>
    <w:p>
      <w:pPr>
        <w:pStyle w:val="ListParagraph"/>
        <w:numPr>
          <w:ilvl w:val="1"/>
          <w:numId w:val="3"/>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特许权</w:t>
      </w:r>
    </w:p>
    <w:p>
      <w:pPr>
        <w:pStyle w:val="ListParagraph"/>
        <w:numPr>
          <w:ilvl w:val="1"/>
          <w:numId w:val="3"/>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土地使用权</w:t>
      </w:r>
    </w:p>
    <w:p>
      <w:pPr>
        <w:pStyle w:val="ListParagraph"/>
        <w:numPr>
          <w:ilvl w:val="0"/>
          <w:numId w:val="3"/>
        </w:numPr>
        <w:tabs>
          <w:tab w:pos="525" w:val="left" w:leader="none"/>
          <w:tab w:pos="4363" w:val="left" w:leader="none"/>
        </w:tabs>
        <w:spacing w:line="240" w:lineRule="auto" w:before="106" w:after="0"/>
        <w:ind w:left="524" w:right="0" w:hanging="305"/>
        <w:jc w:val="left"/>
        <w:rPr>
          <w:sz w:val="24"/>
        </w:rPr>
      </w:pPr>
      <w:r>
        <w:rPr>
          <w:sz w:val="24"/>
        </w:rPr>
        <w:t>投资性房地产的主要构成内容为（</w:t>
        <w:tab/>
      </w:r>
      <w:r>
        <w:rPr>
          <w:spacing w:val="-120"/>
          <w:sz w:val="24"/>
        </w:rPr>
        <w:t>）</w:t>
      </w:r>
      <w:r>
        <w:rPr>
          <w:sz w:val="24"/>
        </w:rPr>
        <w:t>。</w:t>
      </w:r>
    </w:p>
    <w:p>
      <w:pPr>
        <w:pStyle w:val="ListParagraph"/>
        <w:numPr>
          <w:ilvl w:val="1"/>
          <w:numId w:val="3"/>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已出租的土地使用权；</w:t>
      </w:r>
    </w:p>
    <w:p>
      <w:pPr>
        <w:pStyle w:val="ListParagraph"/>
        <w:numPr>
          <w:ilvl w:val="1"/>
          <w:numId w:val="3"/>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长期持有并准备增值后转让的土地使用权；</w:t>
      </w:r>
    </w:p>
    <w:p>
      <w:pPr>
        <w:pStyle w:val="ListParagraph"/>
        <w:numPr>
          <w:ilvl w:val="1"/>
          <w:numId w:val="3"/>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企业拥有并已出租的建筑物。</w:t>
      </w:r>
    </w:p>
    <w:p>
      <w:pPr>
        <w:pStyle w:val="ListParagraph"/>
        <w:numPr>
          <w:ilvl w:val="1"/>
          <w:numId w:val="3"/>
        </w:numPr>
        <w:tabs>
          <w:tab w:pos="1029" w:val="left" w:leader="none"/>
        </w:tabs>
        <w:spacing w:line="240" w:lineRule="auto" w:before="106" w:after="0"/>
        <w:ind w:left="1028" w:right="0" w:hanging="329"/>
        <w:jc w:val="left"/>
        <w:rPr>
          <w:rFonts w:ascii="Calibri" w:eastAsia="Calibri"/>
          <w:sz w:val="24"/>
        </w:rPr>
      </w:pPr>
      <w:r>
        <w:rPr>
          <w:sz w:val="24"/>
        </w:rPr>
        <w:t>企业自用房地产</w:t>
      </w:r>
    </w:p>
    <w:p>
      <w:pPr>
        <w:spacing w:before="82"/>
        <w:ind w:left="220" w:right="0" w:firstLine="0"/>
        <w:jc w:val="left"/>
        <w:rPr>
          <w:rFonts w:ascii="Microsoft JhengHei" w:eastAsia="Microsoft JhengHei" w:hint="eastAsia"/>
          <w:b/>
          <w:sz w:val="24"/>
        </w:rPr>
      </w:pPr>
      <w:r>
        <w:rPr>
          <w:rFonts w:ascii="Microsoft JhengHei" w:eastAsia="Microsoft JhengHei" w:hint="eastAsia"/>
          <w:b/>
          <w:sz w:val="24"/>
        </w:rPr>
        <w:t>三、判断题（每题 </w:t>
      </w:r>
      <w:r>
        <w:rPr>
          <w:rFonts w:ascii="Calibri" w:eastAsia="Calibri"/>
          <w:b/>
          <w:sz w:val="24"/>
        </w:rPr>
        <w:t>4</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20</w:t>
      </w:r>
      <w:r>
        <w:rPr>
          <w:rFonts w:ascii="Calibri" w:eastAsia="Calibri"/>
          <w:b/>
          <w:spacing w:val="5"/>
          <w:sz w:val="24"/>
        </w:rPr>
        <w:t> </w:t>
      </w:r>
      <w:r>
        <w:rPr>
          <w:rFonts w:ascii="Microsoft JhengHei" w:eastAsia="Microsoft JhengHei" w:hint="eastAsia"/>
          <w:b/>
          <w:sz w:val="24"/>
        </w:rPr>
        <w:t>分）</w:t>
      </w:r>
    </w:p>
    <w:p>
      <w:pPr>
        <w:pStyle w:val="ListParagraph"/>
        <w:numPr>
          <w:ilvl w:val="0"/>
          <w:numId w:val="3"/>
        </w:numPr>
        <w:tabs>
          <w:tab w:pos="1007" w:val="left" w:leader="none"/>
        </w:tabs>
        <w:spacing w:line="364" w:lineRule="auto" w:before="106" w:after="0"/>
        <w:ind w:left="220" w:right="739" w:firstLine="480"/>
        <w:jc w:val="both"/>
        <w:rPr>
          <w:sz w:val="24"/>
        </w:rPr>
      </w:pPr>
      <w:r>
        <w:rPr>
          <w:sz w:val="24"/>
        </w:rPr>
        <w:t>出纳员应予每周对保险柜内存储的现金进行清点核对，确保库存现金的</w:t>
      </w:r>
      <w:r>
        <w:rPr>
          <w:spacing w:val="-3"/>
          <w:sz w:val="24"/>
        </w:rPr>
        <w:t>账款相符；在月末时，还要进行现金日记账与现金总账的账账核对，以保证库存</w:t>
      </w:r>
      <w:r>
        <w:rPr>
          <w:spacing w:val="-12"/>
          <w:sz w:val="24"/>
        </w:rPr>
        <w:t>现金数额的账账相符。</w:t>
      </w:r>
      <w:r>
        <w:rPr>
          <w:sz w:val="24"/>
        </w:rPr>
        <w:t>（×）</w:t>
      </w:r>
    </w:p>
    <w:p>
      <w:pPr>
        <w:pStyle w:val="ListParagraph"/>
        <w:numPr>
          <w:ilvl w:val="0"/>
          <w:numId w:val="3"/>
        </w:numPr>
        <w:tabs>
          <w:tab w:pos="1007" w:val="left" w:leader="none"/>
        </w:tabs>
        <w:spacing w:line="240" w:lineRule="auto" w:before="1" w:after="0"/>
        <w:ind w:left="1006" w:right="0" w:hanging="307"/>
        <w:jc w:val="left"/>
        <w:rPr>
          <w:sz w:val="24"/>
        </w:rPr>
      </w:pPr>
      <w:r>
        <w:rPr>
          <w:sz w:val="24"/>
        </w:rPr>
        <w:t>公允价值是指市场参与者在计量日发生的有序交易中，出售一项资产所</w:t>
      </w:r>
    </w:p>
    <w:p>
      <w:pPr>
        <w:spacing w:after="0" w:line="240" w:lineRule="auto"/>
        <w:jc w:val="left"/>
        <w:rPr>
          <w:sz w:val="24"/>
        </w:rPr>
        <w:sectPr>
          <w:pgSz w:w="11910" w:h="16840"/>
          <w:pgMar w:top="1460" w:bottom="280" w:left="1580" w:right="1060"/>
        </w:sectPr>
      </w:pPr>
    </w:p>
    <w:p>
      <w:pPr>
        <w:pStyle w:val="BodyText"/>
        <w:spacing w:before="44"/>
      </w:pPr>
      <w:r>
        <w:rPr>
          <w:spacing w:val="-7"/>
        </w:rPr>
        <w:t>能收到或者转移一项负债所需支付的价格。</w:t>
      </w:r>
      <w:r>
        <w:rPr/>
        <w:t>（√）</w:t>
      </w:r>
    </w:p>
    <w:p>
      <w:pPr>
        <w:pStyle w:val="ListParagraph"/>
        <w:numPr>
          <w:ilvl w:val="0"/>
          <w:numId w:val="3"/>
        </w:numPr>
        <w:tabs>
          <w:tab w:pos="1005" w:val="left" w:leader="none"/>
        </w:tabs>
        <w:spacing w:line="240" w:lineRule="auto" w:before="160" w:after="0"/>
        <w:ind w:left="1004" w:right="0" w:hanging="305"/>
        <w:jc w:val="left"/>
        <w:rPr>
          <w:sz w:val="24"/>
        </w:rPr>
      </w:pPr>
      <w:r>
        <w:rPr>
          <w:spacing w:val="-5"/>
          <w:sz w:val="24"/>
        </w:rPr>
        <w:t>固定资产的使用寿命、预计净残值确定后可以随意变更。</w:t>
      </w:r>
      <w:r>
        <w:rPr>
          <w:sz w:val="24"/>
        </w:rPr>
        <w:t>（×）</w:t>
      </w:r>
    </w:p>
    <w:p>
      <w:pPr>
        <w:pStyle w:val="ListParagraph"/>
        <w:numPr>
          <w:ilvl w:val="0"/>
          <w:numId w:val="3"/>
        </w:numPr>
        <w:tabs>
          <w:tab w:pos="1007" w:val="left" w:leader="none"/>
        </w:tabs>
        <w:spacing w:line="364" w:lineRule="auto" w:before="161" w:after="0"/>
        <w:ind w:left="220" w:right="738" w:firstLine="480"/>
        <w:jc w:val="left"/>
        <w:rPr>
          <w:sz w:val="24"/>
        </w:rPr>
      </w:pPr>
      <w:r>
        <w:rPr>
          <w:sz w:val="24"/>
        </w:rPr>
        <w:t>当投资方加大投资，从有重大影响转换为实施控股时，长期股权投资的</w:t>
      </w:r>
      <w:r>
        <w:rPr>
          <w:spacing w:val="-8"/>
          <w:sz w:val="24"/>
        </w:rPr>
        <w:t>会计处理方法从成本法转为权益法。</w:t>
      </w:r>
      <w:r>
        <w:rPr>
          <w:sz w:val="24"/>
        </w:rPr>
        <w:t>（×）</w:t>
      </w:r>
    </w:p>
    <w:p>
      <w:pPr>
        <w:pStyle w:val="ListParagraph"/>
        <w:numPr>
          <w:ilvl w:val="0"/>
          <w:numId w:val="3"/>
        </w:numPr>
        <w:tabs>
          <w:tab w:pos="1007" w:val="left" w:leader="none"/>
        </w:tabs>
        <w:spacing w:line="364" w:lineRule="auto" w:before="1" w:after="0"/>
        <w:ind w:left="220" w:right="619" w:firstLine="480"/>
        <w:jc w:val="left"/>
        <w:rPr>
          <w:sz w:val="24"/>
        </w:rPr>
      </w:pPr>
      <w:r>
        <w:rPr>
          <w:sz w:val="24"/>
        </w:rPr>
        <w:t>无论是同一控制企业合并，还是非同一控制企业合并，合并方或购买方</w:t>
      </w:r>
      <w:r>
        <w:rPr>
          <w:spacing w:val="-16"/>
          <w:sz w:val="24"/>
        </w:rPr>
        <w:t>为企业合并发生的审计、法律服务、评估咨询等中介费用以及其他相关管理费用，</w:t>
      </w:r>
      <w:r>
        <w:rPr>
          <w:spacing w:val="-117"/>
          <w:sz w:val="24"/>
        </w:rPr>
        <w:t> </w:t>
      </w:r>
      <w:r>
        <w:rPr>
          <w:spacing w:val="-10"/>
          <w:sz w:val="24"/>
        </w:rPr>
        <w:t>发生时不得计入当期损益。</w:t>
      </w:r>
      <w:r>
        <w:rPr>
          <w:sz w:val="24"/>
        </w:rPr>
        <w:t>（×）</w:t>
      </w:r>
    </w:p>
    <w:p>
      <w:pPr>
        <w:spacing w:line="364" w:lineRule="exact" w:before="0"/>
        <w:ind w:left="220" w:right="0" w:firstLine="0"/>
        <w:jc w:val="left"/>
        <w:rPr>
          <w:rFonts w:ascii="Microsoft JhengHei" w:eastAsia="Microsoft JhengHei" w:hint="eastAsia"/>
          <w:b/>
          <w:sz w:val="24"/>
        </w:rPr>
      </w:pPr>
      <w:r>
        <w:rPr>
          <w:rFonts w:ascii="Microsoft JhengHei" w:eastAsia="Microsoft JhengHei" w:hint="eastAsia"/>
          <w:b/>
          <w:sz w:val="24"/>
        </w:rPr>
        <w:t>四、业务处理题（每题 </w:t>
      </w:r>
      <w:r>
        <w:rPr>
          <w:rFonts w:ascii="Calibri" w:eastAsia="Calibri"/>
          <w:b/>
          <w:sz w:val="24"/>
        </w:rPr>
        <w:t>20</w:t>
      </w:r>
      <w:r>
        <w:rPr>
          <w:rFonts w:ascii="Calibri" w:eastAsia="Calibri"/>
          <w:b/>
          <w:spacing w:val="5"/>
          <w:sz w:val="24"/>
        </w:rPr>
        <w:t> </w:t>
      </w:r>
      <w:r>
        <w:rPr>
          <w:rFonts w:ascii="Microsoft JhengHei" w:eastAsia="Microsoft JhengHei" w:hint="eastAsia"/>
          <w:b/>
          <w:sz w:val="24"/>
        </w:rPr>
        <w:t>分，合计 </w:t>
      </w:r>
      <w:r>
        <w:rPr>
          <w:rFonts w:ascii="Calibri" w:eastAsia="Calibri"/>
          <w:b/>
          <w:sz w:val="24"/>
        </w:rPr>
        <w:t>40</w:t>
      </w:r>
      <w:r>
        <w:rPr>
          <w:rFonts w:ascii="Calibri" w:eastAsia="Calibri"/>
          <w:b/>
          <w:spacing w:val="6"/>
          <w:sz w:val="24"/>
        </w:rPr>
        <w:t> </w:t>
      </w:r>
      <w:r>
        <w:rPr>
          <w:rFonts w:ascii="Microsoft JhengHei" w:eastAsia="Microsoft JhengHei" w:hint="eastAsia"/>
          <w:b/>
          <w:sz w:val="24"/>
        </w:rPr>
        <w:t>分）</w:t>
      </w:r>
    </w:p>
    <w:p>
      <w:pPr>
        <w:pStyle w:val="ListParagraph"/>
        <w:numPr>
          <w:ilvl w:val="0"/>
          <w:numId w:val="3"/>
        </w:numPr>
        <w:tabs>
          <w:tab w:pos="1005" w:val="left" w:leader="none"/>
        </w:tabs>
        <w:spacing w:line="240" w:lineRule="auto" w:before="106" w:after="0"/>
        <w:ind w:left="1004" w:right="0" w:hanging="305"/>
        <w:jc w:val="left"/>
        <w:rPr>
          <w:sz w:val="24"/>
        </w:rPr>
      </w:pPr>
      <w:r>
        <w:rPr>
          <w:sz w:val="24"/>
        </w:rPr>
        <w:t>业务题一：</w:t>
      </w:r>
    </w:p>
    <w:p>
      <w:pPr>
        <w:pStyle w:val="BodyText"/>
        <w:spacing w:line="364" w:lineRule="auto" w:before="160"/>
        <w:ind w:right="498" w:firstLine="480"/>
      </w:pPr>
      <w:r>
        <w:rPr>
          <w:rFonts w:ascii="Calibri" w:eastAsia="Calibri"/>
        </w:rPr>
        <w:t>A</w:t>
      </w:r>
      <w:r>
        <w:rPr>
          <w:rFonts w:ascii="Calibri" w:eastAsia="Calibri"/>
          <w:spacing w:val="19"/>
        </w:rPr>
        <w:t> </w:t>
      </w:r>
      <w:r>
        <w:rPr>
          <w:spacing w:val="-10"/>
        </w:rPr>
        <w:t>公司支付 </w:t>
      </w:r>
      <w:r>
        <w:rPr>
          <w:rFonts w:ascii="Calibri" w:eastAsia="Calibri"/>
        </w:rPr>
        <w:t>13</w:t>
      </w:r>
      <w:r>
        <w:rPr>
          <w:rFonts w:ascii="Calibri" w:eastAsia="Calibri"/>
          <w:spacing w:val="19"/>
        </w:rPr>
        <w:t> </w:t>
      </w:r>
      <w:r>
        <w:rPr>
          <w:spacing w:val="-3"/>
        </w:rPr>
        <w:t>万元银行存款购买一批股票，其中的 </w:t>
      </w:r>
      <w:r>
        <w:rPr>
          <w:rFonts w:ascii="Calibri" w:eastAsia="Calibri"/>
        </w:rPr>
        <w:t>1</w:t>
      </w:r>
      <w:r>
        <w:rPr>
          <w:rFonts w:ascii="Calibri" w:eastAsia="Calibri"/>
          <w:spacing w:val="19"/>
        </w:rPr>
        <w:t> </w:t>
      </w:r>
      <w:r>
        <w:rPr/>
        <w:t>万元是交易费用（可</w:t>
      </w:r>
      <w:r>
        <w:rPr>
          <w:spacing w:val="1"/>
        </w:rPr>
        <w:t> </w:t>
      </w:r>
      <w:r>
        <w:rPr>
          <w:spacing w:val="-6"/>
        </w:rPr>
        <w:t>抵扣的增值税税率为 </w:t>
      </w:r>
      <w:r>
        <w:rPr>
          <w:rFonts w:ascii="Calibri" w:eastAsia="Calibri"/>
        </w:rPr>
        <w:t>6</w:t>
      </w:r>
      <w:r>
        <w:rPr>
          <w:rFonts w:ascii="Calibri" w:eastAsia="Calibri"/>
          <w:spacing w:val="-1"/>
        </w:rPr>
        <w:t>%</w:t>
      </w:r>
      <w:r>
        <w:rPr>
          <w:spacing w:val="-120"/>
        </w:rPr>
        <w:t>）</w:t>
      </w:r>
      <w:r>
        <w:rPr>
          <w:spacing w:val="-75"/>
        </w:rPr>
        <w:t>，</w:t>
      </w:r>
      <w:r>
        <w:rPr>
          <w:rFonts w:ascii="Calibri" w:eastAsia="Calibri"/>
        </w:rPr>
        <w:t>2</w:t>
      </w:r>
      <w:r>
        <w:rPr>
          <w:rFonts w:ascii="Calibri" w:eastAsia="Calibri"/>
          <w:spacing w:val="5"/>
        </w:rPr>
        <w:t> </w:t>
      </w:r>
      <w:r>
        <w:rPr>
          <w:spacing w:val="-5"/>
        </w:rPr>
        <w:t>万元是已宣告但尚未支付的股利。在此之后的一周，</w:t>
      </w:r>
      <w:r>
        <w:rPr/>
        <w:t>该公司收到了支付的股利并存入银行。在资产负债表日，该批股票的公允价值上</w:t>
      </w:r>
      <w:r>
        <w:rPr>
          <w:spacing w:val="24"/>
          <w:w w:val="95"/>
        </w:rPr>
        <w:t>升至 </w:t>
      </w:r>
      <w:r>
        <w:rPr>
          <w:rFonts w:ascii="Calibri" w:eastAsia="Calibri"/>
          <w:w w:val="95"/>
        </w:rPr>
        <w:t>15</w:t>
      </w:r>
      <w:r>
        <w:rPr>
          <w:rFonts w:ascii="Calibri" w:eastAsia="Calibri"/>
          <w:spacing w:val="32"/>
          <w:w w:val="95"/>
        </w:rPr>
        <w:t> </w:t>
      </w:r>
      <w:r>
        <w:rPr>
          <w:spacing w:val="2"/>
          <w:w w:val="95"/>
        </w:rPr>
        <w:t>万元；而在公司将该批股票售出时，股票的公允价值又上升至 </w:t>
      </w:r>
      <w:r>
        <w:rPr>
          <w:rFonts w:ascii="Calibri" w:eastAsia="Calibri"/>
          <w:w w:val="95"/>
        </w:rPr>
        <w:t>18</w:t>
      </w:r>
      <w:r>
        <w:rPr>
          <w:rFonts w:ascii="Calibri" w:eastAsia="Calibri"/>
          <w:spacing w:val="81"/>
        </w:rPr>
        <w:t> </w:t>
      </w:r>
      <w:r>
        <w:rPr>
          <w:w w:val="95"/>
        </w:rPr>
        <w:t>万元。</w:t>
      </w:r>
      <w:r>
        <w:rPr/>
        <w:t>要求：做出该批股票交易的全部会计分录。</w:t>
      </w:r>
    </w:p>
    <w:p>
      <w:pPr>
        <w:spacing w:line="365" w:lineRule="exact" w:before="0"/>
        <w:ind w:left="220" w:right="0" w:firstLine="0"/>
        <w:jc w:val="left"/>
        <w:rPr>
          <w:rFonts w:ascii="Microsoft JhengHei" w:eastAsia="Microsoft JhengHei" w:hint="eastAsia"/>
          <w:b/>
          <w:sz w:val="24"/>
        </w:rPr>
      </w:pPr>
      <w:r>
        <w:rPr>
          <w:rFonts w:ascii="Microsoft JhengHei" w:eastAsia="Microsoft JhengHei" w:hint="eastAsia"/>
          <w:b/>
          <w:color w:val="FF0000"/>
          <w:sz w:val="24"/>
        </w:rPr>
        <w:t>参考答案：</w:t>
      </w:r>
    </w:p>
    <w:p>
      <w:pPr>
        <w:pStyle w:val="ListParagraph"/>
        <w:numPr>
          <w:ilvl w:val="0"/>
          <w:numId w:val="4"/>
        </w:numPr>
        <w:tabs>
          <w:tab w:pos="1303" w:val="left" w:leader="none"/>
        </w:tabs>
        <w:spacing w:line="364" w:lineRule="auto" w:before="106" w:after="0"/>
        <w:ind w:left="700" w:right="5000" w:firstLine="0"/>
        <w:jc w:val="left"/>
        <w:rPr>
          <w:rFonts w:ascii="Calibri" w:eastAsia="Calibri"/>
          <w:sz w:val="24"/>
        </w:rPr>
      </w:pPr>
      <w:r>
        <w:rPr>
          <w:sz w:val="24"/>
        </w:rPr>
        <w:t>购买股票时的会计分录：</w:t>
      </w:r>
      <w:r>
        <w:rPr>
          <w:spacing w:val="1"/>
          <w:sz w:val="24"/>
        </w:rPr>
        <w:t> </w:t>
      </w:r>
      <w:r>
        <w:rPr>
          <w:sz w:val="24"/>
        </w:rPr>
        <w:t>借：交易性金融资产</w:t>
      </w:r>
      <w:r>
        <w:rPr>
          <w:rFonts w:ascii="Calibri" w:eastAsia="Calibri"/>
          <w:sz w:val="24"/>
        </w:rPr>
        <w:t>-</w:t>
      </w:r>
      <w:r>
        <w:rPr>
          <w:spacing w:val="-5"/>
          <w:sz w:val="24"/>
        </w:rPr>
        <w:t>成本 </w:t>
      </w:r>
      <w:r>
        <w:rPr>
          <w:rFonts w:ascii="Calibri" w:eastAsia="Calibri"/>
          <w:sz w:val="24"/>
        </w:rPr>
        <w:t>100000</w:t>
      </w:r>
    </w:p>
    <w:p>
      <w:pPr>
        <w:pStyle w:val="BodyText"/>
        <w:tabs>
          <w:tab w:pos="2499" w:val="left" w:leader="none"/>
        </w:tabs>
        <w:spacing w:before="2"/>
        <w:ind w:left="1180"/>
        <w:rPr>
          <w:rFonts w:ascii="Calibri" w:eastAsia="Calibri"/>
        </w:rPr>
      </w:pPr>
      <w:r>
        <w:rPr/>
        <w:t>应收股利</w:t>
        <w:tab/>
      </w:r>
      <w:r>
        <w:rPr>
          <w:rFonts w:ascii="Calibri" w:eastAsia="Calibri"/>
        </w:rPr>
        <w:t>20000</w:t>
      </w:r>
    </w:p>
    <w:p>
      <w:pPr>
        <w:pStyle w:val="BodyText"/>
        <w:spacing w:before="160"/>
        <w:ind w:left="1180"/>
        <w:rPr>
          <w:rFonts w:ascii="Calibri" w:eastAsia="Calibri"/>
        </w:rPr>
      </w:pPr>
      <w:r>
        <w:rPr/>
        <w:t>投资收益</w:t>
      </w:r>
      <w:r>
        <w:rPr>
          <w:rFonts w:ascii="Calibri" w:eastAsia="Calibri"/>
        </w:rPr>
        <w:t>-</w:t>
      </w:r>
      <w:r>
        <w:rPr/>
        <w:t>交易费 </w:t>
      </w:r>
      <w:r>
        <w:rPr>
          <w:rFonts w:ascii="Calibri" w:eastAsia="Calibri"/>
        </w:rPr>
        <w:t>9434</w:t>
      </w:r>
    </w:p>
    <w:p>
      <w:pPr>
        <w:pStyle w:val="BodyText"/>
        <w:ind w:left="1180"/>
        <w:rPr>
          <w:rFonts w:ascii="Calibri" w:eastAsia="Calibri"/>
        </w:rPr>
      </w:pPr>
      <w:r>
        <w:rPr>
          <w:w w:val="95"/>
        </w:rPr>
        <w:t>应交税费</w:t>
      </w:r>
      <w:r>
        <w:rPr>
          <w:rFonts w:ascii="Calibri" w:eastAsia="Calibri"/>
          <w:w w:val="95"/>
        </w:rPr>
        <w:t>-</w:t>
      </w:r>
      <w:r>
        <w:rPr>
          <w:spacing w:val="12"/>
          <w:w w:val="95"/>
        </w:rPr>
        <w:t>应交增值税 </w:t>
      </w:r>
      <w:r>
        <w:rPr>
          <w:rFonts w:ascii="Calibri" w:eastAsia="Calibri"/>
          <w:w w:val="95"/>
        </w:rPr>
        <w:t>566</w:t>
      </w:r>
    </w:p>
    <w:p>
      <w:pPr>
        <w:pStyle w:val="BodyText"/>
        <w:tabs>
          <w:tab w:pos="2979" w:val="left" w:leader="none"/>
        </w:tabs>
        <w:spacing w:before="160"/>
        <w:ind w:left="1180"/>
        <w:rPr>
          <w:rFonts w:ascii="Calibri" w:eastAsia="Calibri"/>
        </w:rPr>
      </w:pPr>
      <w:r>
        <w:rPr/>
        <w:t>贷：银行存款</w:t>
        <w:tab/>
      </w:r>
      <w:r>
        <w:rPr>
          <w:rFonts w:ascii="Calibri" w:eastAsia="Calibri"/>
        </w:rPr>
        <w:t>130000</w:t>
      </w:r>
    </w:p>
    <w:p>
      <w:pPr>
        <w:pStyle w:val="ListParagraph"/>
        <w:numPr>
          <w:ilvl w:val="0"/>
          <w:numId w:val="4"/>
        </w:numPr>
        <w:tabs>
          <w:tab w:pos="1303" w:val="left" w:leader="none"/>
          <w:tab w:pos="2379" w:val="left" w:leader="none"/>
        </w:tabs>
        <w:spacing w:line="364" w:lineRule="auto" w:before="161" w:after="0"/>
        <w:ind w:left="700" w:right="3882" w:firstLine="0"/>
        <w:jc w:val="left"/>
        <w:rPr>
          <w:rFonts w:ascii="Calibri" w:eastAsia="Calibri"/>
          <w:sz w:val="24"/>
        </w:rPr>
      </w:pPr>
      <w:r>
        <w:rPr>
          <w:spacing w:val="-1"/>
          <w:sz w:val="24"/>
        </w:rPr>
        <w:t>公司</w:t>
      </w:r>
      <w:r>
        <w:rPr>
          <w:sz w:val="24"/>
        </w:rPr>
        <w:t>收到发放的已宜告股利会计分录：</w:t>
      </w:r>
      <w:r>
        <w:rPr>
          <w:spacing w:val="-117"/>
          <w:sz w:val="24"/>
        </w:rPr>
        <w:t> </w:t>
      </w:r>
      <w:r>
        <w:rPr>
          <w:sz w:val="24"/>
        </w:rPr>
        <w:t>借：银行存款</w:t>
        <w:tab/>
      </w:r>
      <w:r>
        <w:rPr>
          <w:rFonts w:ascii="Calibri" w:eastAsia="Calibri"/>
          <w:sz w:val="24"/>
        </w:rPr>
        <w:t>20000</w:t>
      </w:r>
    </w:p>
    <w:p>
      <w:pPr>
        <w:pStyle w:val="BodyText"/>
        <w:tabs>
          <w:tab w:pos="2859" w:val="left" w:leader="none"/>
        </w:tabs>
        <w:spacing w:before="1"/>
        <w:ind w:left="1180"/>
        <w:rPr>
          <w:rFonts w:ascii="Calibri" w:eastAsia="Calibri"/>
        </w:rPr>
      </w:pPr>
      <w:r>
        <w:rPr/>
        <w:t>贷：应收股利</w:t>
        <w:tab/>
      </w:r>
      <w:r>
        <w:rPr>
          <w:rFonts w:ascii="Calibri" w:eastAsia="Calibri"/>
        </w:rPr>
        <w:t>20000</w:t>
      </w:r>
    </w:p>
    <w:p>
      <w:pPr>
        <w:pStyle w:val="ListParagraph"/>
        <w:numPr>
          <w:ilvl w:val="0"/>
          <w:numId w:val="4"/>
        </w:numPr>
        <w:tabs>
          <w:tab w:pos="1303" w:val="left" w:leader="none"/>
          <w:tab w:pos="5139" w:val="left" w:leader="none"/>
        </w:tabs>
        <w:spacing w:line="364" w:lineRule="auto" w:before="160" w:after="0"/>
        <w:ind w:left="700" w:right="1599" w:firstLine="0"/>
        <w:jc w:val="left"/>
        <w:rPr>
          <w:rFonts w:ascii="Calibri" w:hAnsi="Calibri" w:eastAsia="Calibri"/>
          <w:sz w:val="24"/>
        </w:rPr>
      </w:pPr>
      <w:r>
        <w:rPr>
          <w:spacing w:val="-1"/>
          <w:sz w:val="24"/>
        </w:rPr>
        <w:t>在资产负债表，该批股票的公允价值为</w:t>
      </w:r>
      <w:r>
        <w:rPr>
          <w:spacing w:val="-60"/>
          <w:sz w:val="24"/>
        </w:rPr>
        <w:t> </w:t>
      </w:r>
      <w:r>
        <w:rPr>
          <w:rFonts w:ascii="Calibri" w:hAnsi="Calibri" w:eastAsia="Calibri"/>
          <w:spacing w:val="-1"/>
          <w:sz w:val="24"/>
        </w:rPr>
        <w:t>15</w:t>
      </w:r>
      <w:r>
        <w:rPr>
          <w:rFonts w:ascii="Calibri" w:hAnsi="Calibri" w:eastAsia="Calibri"/>
          <w:spacing w:val="6"/>
          <w:sz w:val="24"/>
        </w:rPr>
        <w:t> </w:t>
      </w:r>
      <w:r>
        <w:rPr>
          <w:sz w:val="24"/>
        </w:rPr>
        <w:t>万元的会计分录：</w:t>
      </w:r>
      <w:r>
        <w:rPr>
          <w:spacing w:val="-117"/>
          <w:sz w:val="24"/>
        </w:rPr>
        <w:t> </w:t>
      </w:r>
      <w:r>
        <w:rPr>
          <w:sz w:val="24"/>
        </w:rPr>
        <w:t>借：交易性金融资产——公允价值变动</w:t>
        <w:tab/>
      </w:r>
      <w:r>
        <w:rPr>
          <w:rFonts w:ascii="Calibri" w:hAnsi="Calibri" w:eastAsia="Calibri"/>
          <w:sz w:val="24"/>
        </w:rPr>
        <w:t>50000</w:t>
      </w:r>
    </w:p>
    <w:p>
      <w:pPr>
        <w:pStyle w:val="BodyText"/>
        <w:tabs>
          <w:tab w:pos="5047" w:val="left" w:leader="none"/>
        </w:tabs>
        <w:spacing w:before="1"/>
        <w:ind w:left="1180"/>
        <w:rPr>
          <w:rFonts w:ascii="Calibri" w:hAnsi="Calibri" w:eastAsia="Calibri"/>
        </w:rPr>
      </w:pPr>
      <w:r>
        <w:rPr/>
        <w:t>贷：公允价值变动损益——</w:t>
      </w:r>
      <w:r>
        <w:rPr>
          <w:rFonts w:ascii="Calibri" w:hAnsi="Calibri" w:eastAsia="Calibri"/>
        </w:rPr>
        <w:t>xx</w:t>
      </w:r>
      <w:r>
        <w:rPr>
          <w:rFonts w:ascii="Calibri" w:hAnsi="Calibri" w:eastAsia="Calibri"/>
          <w:spacing w:val="4"/>
        </w:rPr>
        <w:t> </w:t>
      </w:r>
      <w:r>
        <w:rPr/>
        <w:t>股票</w:t>
        <w:tab/>
      </w:r>
      <w:r>
        <w:rPr>
          <w:rFonts w:ascii="Calibri" w:hAnsi="Calibri" w:eastAsia="Calibri"/>
        </w:rPr>
        <w:t>50000</w:t>
      </w:r>
    </w:p>
    <w:p>
      <w:pPr>
        <w:pStyle w:val="ListParagraph"/>
        <w:numPr>
          <w:ilvl w:val="0"/>
          <w:numId w:val="4"/>
        </w:numPr>
        <w:tabs>
          <w:tab w:pos="1303" w:val="left" w:leader="none"/>
          <w:tab w:pos="2499" w:val="left" w:leader="none"/>
        </w:tabs>
        <w:spacing w:line="364" w:lineRule="auto" w:before="161" w:after="0"/>
        <w:ind w:left="700" w:right="2559" w:firstLine="0"/>
        <w:jc w:val="left"/>
        <w:rPr>
          <w:rFonts w:ascii="Calibri" w:eastAsia="Calibri"/>
          <w:sz w:val="24"/>
        </w:rPr>
      </w:pPr>
      <w:r>
        <w:rPr>
          <w:spacing w:val="-1"/>
          <w:sz w:val="24"/>
        </w:rPr>
        <w:t>该公司将该批股票出售，共得到</w:t>
      </w:r>
      <w:r>
        <w:rPr>
          <w:spacing w:val="-60"/>
          <w:sz w:val="24"/>
        </w:rPr>
        <w:t> </w:t>
      </w:r>
      <w:r>
        <w:rPr>
          <w:rFonts w:ascii="Calibri" w:eastAsia="Calibri"/>
          <w:spacing w:val="-1"/>
          <w:sz w:val="24"/>
        </w:rPr>
        <w:t>18</w:t>
      </w:r>
      <w:r>
        <w:rPr>
          <w:rFonts w:ascii="Calibri" w:eastAsia="Calibri"/>
          <w:spacing w:val="5"/>
          <w:sz w:val="24"/>
        </w:rPr>
        <w:t> </w:t>
      </w:r>
      <w:r>
        <w:rPr>
          <w:spacing w:val="-1"/>
          <w:sz w:val="24"/>
        </w:rPr>
        <w:t>万元</w:t>
      </w:r>
      <w:r>
        <w:rPr>
          <w:sz w:val="24"/>
        </w:rPr>
        <w:t>会计分录：</w:t>
      </w:r>
      <w:r>
        <w:rPr>
          <w:spacing w:val="-117"/>
          <w:sz w:val="24"/>
        </w:rPr>
        <w:t> </w:t>
      </w:r>
      <w:r>
        <w:rPr>
          <w:sz w:val="24"/>
        </w:rPr>
        <w:t>借：银行存款</w:t>
        <w:tab/>
      </w:r>
      <w:r>
        <w:rPr>
          <w:rFonts w:ascii="Calibri" w:eastAsia="Calibri"/>
          <w:sz w:val="24"/>
        </w:rPr>
        <w:t>180000</w:t>
      </w:r>
    </w:p>
    <w:p>
      <w:pPr>
        <w:spacing w:after="0" w:line="364" w:lineRule="auto"/>
        <w:jc w:val="left"/>
        <w:rPr>
          <w:rFonts w:ascii="Calibri" w:eastAsia="Calibri"/>
          <w:sz w:val="24"/>
        </w:rPr>
        <w:sectPr>
          <w:pgSz w:w="11910" w:h="16840"/>
          <w:pgMar w:top="1460" w:bottom="280" w:left="1580" w:right="1060"/>
        </w:sectPr>
      </w:pPr>
    </w:p>
    <w:p>
      <w:pPr>
        <w:pStyle w:val="BodyText"/>
        <w:tabs>
          <w:tab w:pos="4419" w:val="left" w:leader="none"/>
        </w:tabs>
        <w:spacing w:before="44"/>
        <w:ind w:left="1060"/>
        <w:rPr>
          <w:rFonts w:ascii="Calibri" w:hAnsi="Calibri" w:eastAsia="Calibri"/>
        </w:rPr>
      </w:pPr>
      <w:r>
        <w:rPr/>
        <w:t>贷：交易性金融资产——成本</w:t>
        <w:tab/>
      </w:r>
      <w:r>
        <w:rPr>
          <w:rFonts w:ascii="Calibri" w:hAnsi="Calibri" w:eastAsia="Calibri"/>
        </w:rPr>
        <w:t>100000</w:t>
      </w:r>
    </w:p>
    <w:p>
      <w:pPr>
        <w:pStyle w:val="BodyText"/>
        <w:tabs>
          <w:tab w:pos="4659" w:val="left" w:leader="none"/>
        </w:tabs>
        <w:spacing w:before="160"/>
        <w:ind w:left="700"/>
        <w:rPr>
          <w:rFonts w:ascii="Calibri" w:hAnsi="Calibri" w:eastAsia="Calibri"/>
        </w:rPr>
      </w:pPr>
      <w:r>
        <w:rPr/>
        <w:t>交易性金融资产——公允价值变动</w:t>
        <w:tab/>
      </w:r>
      <w:r>
        <w:rPr>
          <w:rFonts w:ascii="Calibri" w:hAnsi="Calibri" w:eastAsia="Calibri"/>
        </w:rPr>
        <w:t>50000</w:t>
      </w:r>
    </w:p>
    <w:p>
      <w:pPr>
        <w:pStyle w:val="BodyText"/>
        <w:tabs>
          <w:tab w:pos="2019" w:val="left" w:leader="none"/>
        </w:tabs>
        <w:ind w:left="700"/>
        <w:rPr>
          <w:rFonts w:ascii="Calibri" w:eastAsia="Calibri"/>
        </w:rPr>
      </w:pPr>
      <w:r>
        <w:rPr/>
        <w:t>投资收益</w:t>
        <w:tab/>
      </w:r>
      <w:r>
        <w:rPr>
          <w:rFonts w:ascii="Calibri" w:eastAsia="Calibri"/>
        </w:rPr>
        <w:t>30000</w:t>
      </w:r>
    </w:p>
    <w:p>
      <w:pPr>
        <w:pStyle w:val="BodyText"/>
        <w:spacing w:before="160"/>
        <w:ind w:left="700"/>
      </w:pPr>
      <w:r>
        <w:rPr/>
        <w:t>同时：</w:t>
      </w:r>
    </w:p>
    <w:p>
      <w:pPr>
        <w:pStyle w:val="BodyText"/>
        <w:ind w:left="700"/>
        <w:jc w:val="both"/>
        <w:rPr>
          <w:rFonts w:ascii="Calibri" w:eastAsia="Calibri"/>
        </w:rPr>
      </w:pPr>
      <w:r>
        <w:rPr>
          <w:spacing w:val="-7"/>
        </w:rPr>
        <w:t>借：公允价值变动损益 </w:t>
      </w:r>
      <w:r>
        <w:rPr>
          <w:rFonts w:ascii="Calibri" w:eastAsia="Calibri"/>
        </w:rPr>
        <w:t>xx</w:t>
      </w:r>
      <w:r>
        <w:rPr>
          <w:rFonts w:ascii="Calibri" w:eastAsia="Calibri"/>
          <w:spacing w:val="5"/>
        </w:rPr>
        <w:t> </w:t>
      </w:r>
      <w:r>
        <w:rPr/>
        <w:t>股票   </w:t>
      </w:r>
      <w:r>
        <w:rPr>
          <w:rFonts w:ascii="Calibri" w:eastAsia="Calibri"/>
        </w:rPr>
        <w:t>50000</w:t>
      </w:r>
    </w:p>
    <w:p>
      <w:pPr>
        <w:pStyle w:val="BodyText"/>
        <w:spacing w:line="364" w:lineRule="auto" w:before="160"/>
        <w:ind w:left="700" w:right="5795" w:firstLine="480"/>
        <w:jc w:val="both"/>
      </w:pPr>
      <w:r>
        <w:rPr/>
        <w:t>贷：投资收益 </w:t>
      </w:r>
      <w:r>
        <w:rPr>
          <w:rFonts w:ascii="Calibri" w:eastAsia="Calibri"/>
        </w:rPr>
        <w:t>50000</w:t>
      </w:r>
      <w:r>
        <w:rPr>
          <w:rFonts w:ascii="Calibri" w:eastAsia="Calibri"/>
          <w:spacing w:val="1"/>
        </w:rPr>
        <w:t> </w:t>
      </w:r>
      <w:r>
        <w:rPr>
          <w:rFonts w:ascii="Calibri" w:eastAsia="Calibri"/>
        </w:rPr>
        <w:t>17.</w:t>
      </w:r>
      <w:r>
        <w:rPr/>
        <w:t>业务题二：</w:t>
      </w:r>
    </w:p>
    <w:p>
      <w:pPr>
        <w:pStyle w:val="BodyText"/>
        <w:spacing w:line="364" w:lineRule="auto" w:before="2"/>
        <w:ind w:right="739" w:firstLine="480"/>
        <w:jc w:val="both"/>
      </w:pPr>
      <w:r>
        <w:rPr>
          <w:rFonts w:ascii="Calibri" w:eastAsia="Calibri"/>
          <w:spacing w:val="-1"/>
        </w:rPr>
        <w:t>A</w:t>
      </w:r>
      <w:r>
        <w:rPr>
          <w:rFonts w:ascii="Calibri" w:eastAsia="Calibri"/>
          <w:spacing w:val="5"/>
        </w:rPr>
        <w:t> </w:t>
      </w:r>
      <w:r>
        <w:rPr>
          <w:spacing w:val="-21"/>
        </w:rPr>
        <w:t>公司 </w:t>
      </w:r>
      <w:r>
        <w:rPr>
          <w:rFonts w:ascii="Calibri" w:eastAsia="Calibri"/>
          <w:spacing w:val="-1"/>
        </w:rPr>
        <w:t>2011</w:t>
      </w:r>
      <w:r>
        <w:rPr>
          <w:rFonts w:ascii="Calibri" w:eastAsia="Calibri"/>
          <w:spacing w:val="5"/>
        </w:rPr>
        <w:t> </w:t>
      </w:r>
      <w:r>
        <w:rPr>
          <w:spacing w:val="-7"/>
        </w:rPr>
        <w:t>年末应收账款的余额为 </w:t>
      </w:r>
      <w:r>
        <w:rPr>
          <w:rFonts w:ascii="Calibri" w:eastAsia="Calibri"/>
        </w:rPr>
        <w:t>200 000</w:t>
      </w:r>
      <w:r>
        <w:rPr>
          <w:rFonts w:ascii="Calibri" w:eastAsia="Calibri"/>
          <w:spacing w:val="5"/>
        </w:rPr>
        <w:t> </w:t>
      </w:r>
      <w:r>
        <w:rPr>
          <w:spacing w:val="-5"/>
        </w:rPr>
        <w:t>元，坏账损失计提比率为 </w:t>
      </w:r>
      <w:r>
        <w:rPr>
          <w:rFonts w:ascii="Calibri" w:eastAsia="Calibri"/>
        </w:rPr>
        <w:t>4%</w:t>
      </w:r>
      <w:r>
        <w:rPr/>
        <w:t>。在第二年，</w:t>
      </w:r>
      <w:r>
        <w:rPr>
          <w:rFonts w:ascii="Calibri" w:eastAsia="Calibri"/>
        </w:rPr>
        <w:t>A</w:t>
      </w:r>
      <w:r>
        <w:rPr>
          <w:rFonts w:ascii="Calibri" w:eastAsia="Calibri"/>
          <w:spacing w:val="12"/>
        </w:rPr>
        <w:t> </w:t>
      </w:r>
      <w:r>
        <w:rPr>
          <w:spacing w:val="-4"/>
        </w:rPr>
        <w:t>公司实际发生的坏账损失数额为 </w:t>
      </w:r>
      <w:r>
        <w:rPr>
          <w:rFonts w:ascii="Calibri" w:eastAsia="Calibri"/>
        </w:rPr>
        <w:t>B</w:t>
      </w:r>
      <w:r>
        <w:rPr>
          <w:rFonts w:ascii="Calibri" w:eastAsia="Calibri"/>
          <w:spacing w:val="12"/>
        </w:rPr>
        <w:t> </w:t>
      </w:r>
      <w:r>
        <w:rPr>
          <w:spacing w:val="-14"/>
        </w:rPr>
        <w:t>公司的 </w:t>
      </w:r>
      <w:r>
        <w:rPr>
          <w:rFonts w:ascii="Calibri" w:eastAsia="Calibri"/>
        </w:rPr>
        <w:t>5000</w:t>
      </w:r>
      <w:r>
        <w:rPr>
          <w:rFonts w:ascii="Calibri" w:eastAsia="Calibri"/>
          <w:spacing w:val="12"/>
        </w:rPr>
        <w:t> </w:t>
      </w:r>
      <w:r>
        <w:rPr/>
        <w:t>元；坏账损失率调</w:t>
      </w:r>
      <w:r>
        <w:rPr>
          <w:spacing w:val="16"/>
          <w:w w:val="95"/>
        </w:rPr>
        <w:t>整为 </w:t>
      </w:r>
      <w:r>
        <w:rPr>
          <w:rFonts w:ascii="Calibri" w:eastAsia="Calibri"/>
          <w:w w:val="95"/>
        </w:rPr>
        <w:t>5%</w:t>
      </w:r>
      <w:r>
        <w:rPr>
          <w:spacing w:val="3"/>
          <w:w w:val="95"/>
        </w:rPr>
        <w:t>。第二年的应收账款总额为 </w:t>
      </w:r>
      <w:r>
        <w:rPr>
          <w:rFonts w:ascii="Calibri" w:eastAsia="Calibri"/>
          <w:w w:val="95"/>
        </w:rPr>
        <w:t>100</w:t>
      </w:r>
      <w:r>
        <w:rPr>
          <w:rFonts w:ascii="Calibri" w:eastAsia="Calibri"/>
          <w:spacing w:val="47"/>
          <w:w w:val="95"/>
        </w:rPr>
        <w:t> </w:t>
      </w:r>
      <w:r>
        <w:rPr>
          <w:rFonts w:ascii="Calibri" w:eastAsia="Calibri"/>
          <w:w w:val="95"/>
        </w:rPr>
        <w:t>000</w:t>
      </w:r>
      <w:r>
        <w:rPr>
          <w:rFonts w:ascii="Calibri" w:eastAsia="Calibri"/>
          <w:spacing w:val="11"/>
          <w:w w:val="95"/>
        </w:rPr>
        <w:t> </w:t>
      </w:r>
      <w:r>
        <w:rPr>
          <w:w w:val="95"/>
        </w:rPr>
        <w:t>元。在第三年，第二年已核销的坏</w:t>
      </w:r>
      <w:r>
        <w:rPr>
          <w:spacing w:val="-30"/>
        </w:rPr>
        <w:t>账 </w:t>
      </w:r>
      <w:r>
        <w:rPr>
          <w:rFonts w:ascii="Calibri" w:eastAsia="Calibri"/>
        </w:rPr>
        <w:t>B</w:t>
      </w:r>
      <w:r>
        <w:rPr>
          <w:rFonts w:ascii="Calibri" w:eastAsia="Calibri"/>
          <w:spacing w:val="5"/>
        </w:rPr>
        <w:t> </w:t>
      </w:r>
      <w:r>
        <w:rPr>
          <w:spacing w:val="-8"/>
        </w:rPr>
        <w:t>公司的应收账款 </w:t>
      </w:r>
      <w:r>
        <w:rPr>
          <w:rFonts w:ascii="Calibri" w:eastAsia="Calibri"/>
        </w:rPr>
        <w:t>5000</w:t>
      </w:r>
      <w:r>
        <w:rPr>
          <w:rFonts w:ascii="Calibri" w:eastAsia="Calibri"/>
          <w:spacing w:val="5"/>
        </w:rPr>
        <w:t> </w:t>
      </w:r>
      <w:r>
        <w:rPr>
          <w:spacing w:val="-6"/>
        </w:rPr>
        <w:t>元可收回。要求：做出 </w:t>
      </w:r>
      <w:r>
        <w:rPr>
          <w:rFonts w:ascii="Calibri" w:eastAsia="Calibri"/>
        </w:rPr>
        <w:t>A</w:t>
      </w:r>
      <w:r>
        <w:rPr>
          <w:rFonts w:ascii="Calibri" w:eastAsia="Calibri"/>
          <w:spacing w:val="5"/>
        </w:rPr>
        <w:t> </w:t>
      </w:r>
      <w:r>
        <w:rPr/>
        <w:t>公司的会计处理。</w:t>
      </w:r>
    </w:p>
    <w:p>
      <w:pPr>
        <w:spacing w:line="365" w:lineRule="exact" w:before="0"/>
        <w:ind w:left="220" w:right="0" w:firstLine="0"/>
        <w:jc w:val="left"/>
        <w:rPr>
          <w:rFonts w:ascii="Microsoft JhengHei" w:eastAsia="Microsoft JhengHei" w:hint="eastAsia"/>
          <w:b/>
          <w:sz w:val="24"/>
        </w:rPr>
      </w:pPr>
      <w:r>
        <w:rPr>
          <w:rFonts w:ascii="Microsoft JhengHei" w:eastAsia="Microsoft JhengHei" w:hint="eastAsia"/>
          <w:b/>
          <w:color w:val="FF0000"/>
          <w:sz w:val="24"/>
        </w:rPr>
        <w:t>参考答案：</w:t>
      </w:r>
    </w:p>
    <w:p>
      <w:pPr>
        <w:pStyle w:val="ListParagraph"/>
        <w:numPr>
          <w:ilvl w:val="0"/>
          <w:numId w:val="5"/>
        </w:numPr>
        <w:tabs>
          <w:tab w:pos="1303" w:val="left" w:leader="none"/>
        </w:tabs>
        <w:spacing w:line="240" w:lineRule="auto" w:before="105" w:after="0"/>
        <w:ind w:left="1302" w:right="0" w:hanging="603"/>
        <w:jc w:val="left"/>
        <w:rPr>
          <w:sz w:val="24"/>
        </w:rPr>
      </w:pPr>
      <w:r>
        <w:rPr>
          <w:sz w:val="24"/>
        </w:rPr>
        <w:t>当年计提坏账准备会计分录：</w:t>
      </w:r>
    </w:p>
    <w:p>
      <w:pPr>
        <w:pStyle w:val="BodyText"/>
        <w:tabs>
          <w:tab w:pos="2979" w:val="left" w:leader="none"/>
        </w:tabs>
        <w:spacing w:line="364" w:lineRule="auto"/>
        <w:ind w:left="700" w:right="3815"/>
        <w:rPr>
          <w:rFonts w:ascii="Calibri" w:eastAsia="Calibri"/>
        </w:rPr>
      </w:pPr>
      <w:r>
        <w:rPr>
          <w:spacing w:val="-1"/>
        </w:rPr>
        <w:t>应计</w:t>
      </w:r>
      <w:r>
        <w:rPr/>
        <w:t>提坏账准备数额</w:t>
      </w:r>
      <w:r>
        <w:rPr>
          <w:rFonts w:ascii="Calibri" w:eastAsia="Calibri"/>
        </w:rPr>
        <w:t>=200000*4%=8000</w:t>
      </w:r>
      <w:r>
        <w:rPr/>
        <w:t>（元）</w:t>
      </w:r>
      <w:r>
        <w:rPr>
          <w:spacing w:val="-117"/>
        </w:rPr>
        <w:t> </w:t>
      </w:r>
      <w:r>
        <w:rPr/>
        <w:t>借：信用简值损失</w:t>
        <w:tab/>
      </w:r>
      <w:r>
        <w:rPr>
          <w:rFonts w:ascii="Calibri" w:eastAsia="Calibri"/>
        </w:rPr>
        <w:t>8000</w:t>
      </w:r>
    </w:p>
    <w:p>
      <w:pPr>
        <w:pStyle w:val="BodyText"/>
        <w:tabs>
          <w:tab w:pos="2859" w:val="left" w:leader="none"/>
        </w:tabs>
        <w:spacing w:before="1"/>
        <w:ind w:left="1180"/>
        <w:rPr>
          <w:rFonts w:ascii="Calibri" w:eastAsia="Calibri"/>
        </w:rPr>
      </w:pPr>
      <w:r>
        <w:rPr/>
        <w:t>贷：坏账准备</w:t>
        <w:tab/>
      </w:r>
      <w:r>
        <w:rPr>
          <w:rFonts w:ascii="Calibri" w:eastAsia="Calibri"/>
        </w:rPr>
        <w:t>8000</w:t>
      </w:r>
    </w:p>
    <w:p>
      <w:pPr>
        <w:pStyle w:val="ListParagraph"/>
        <w:numPr>
          <w:ilvl w:val="0"/>
          <w:numId w:val="5"/>
        </w:numPr>
        <w:tabs>
          <w:tab w:pos="1303" w:val="left" w:leader="none"/>
          <w:tab w:pos="2379" w:val="left" w:leader="none"/>
        </w:tabs>
        <w:spacing w:line="364" w:lineRule="auto" w:before="161" w:after="0"/>
        <w:ind w:left="700" w:right="4602" w:firstLine="0"/>
        <w:jc w:val="left"/>
        <w:rPr>
          <w:rFonts w:ascii="Calibri" w:eastAsia="Calibri"/>
          <w:sz w:val="24"/>
        </w:rPr>
      </w:pPr>
      <w:r>
        <w:rPr>
          <w:spacing w:val="-1"/>
          <w:sz w:val="24"/>
        </w:rPr>
        <w:t>第二</w:t>
      </w:r>
      <w:r>
        <w:rPr>
          <w:sz w:val="24"/>
        </w:rPr>
        <w:t>年坏账实际发生会计分录：</w:t>
      </w:r>
      <w:r>
        <w:rPr>
          <w:spacing w:val="-117"/>
          <w:sz w:val="24"/>
        </w:rPr>
        <w:t> </w:t>
      </w:r>
      <w:r>
        <w:rPr>
          <w:sz w:val="24"/>
        </w:rPr>
        <w:t>借：坏账准备</w:t>
        <w:tab/>
      </w:r>
      <w:r>
        <w:rPr>
          <w:rFonts w:ascii="Calibri" w:eastAsia="Calibri"/>
          <w:sz w:val="24"/>
        </w:rPr>
        <w:t>5000</w:t>
      </w:r>
    </w:p>
    <w:p>
      <w:pPr>
        <w:pStyle w:val="BodyText"/>
        <w:tabs>
          <w:tab w:pos="3470" w:val="left" w:leader="none"/>
        </w:tabs>
        <w:spacing w:before="1"/>
        <w:ind w:left="1180"/>
        <w:rPr>
          <w:rFonts w:ascii="Calibri" w:hAnsi="Calibri" w:eastAsia="Calibri"/>
        </w:rPr>
      </w:pPr>
      <w:r>
        <w:rPr/>
        <w:t>贷：应收账款——</w:t>
      </w:r>
      <w:r>
        <w:rPr>
          <w:rFonts w:ascii="Calibri" w:hAnsi="Calibri" w:eastAsia="Calibri"/>
        </w:rPr>
        <w:t>B</w:t>
        <w:tab/>
        <w:t>5000</w:t>
      </w:r>
    </w:p>
    <w:p>
      <w:pPr>
        <w:pStyle w:val="ListParagraph"/>
        <w:numPr>
          <w:ilvl w:val="0"/>
          <w:numId w:val="5"/>
        </w:numPr>
        <w:tabs>
          <w:tab w:pos="1303" w:val="left" w:leader="none"/>
        </w:tabs>
        <w:spacing w:line="240" w:lineRule="auto" w:before="160" w:after="0"/>
        <w:ind w:left="1302" w:right="0" w:hanging="603"/>
        <w:jc w:val="left"/>
        <w:rPr>
          <w:sz w:val="24"/>
        </w:rPr>
      </w:pPr>
      <w:r>
        <w:rPr>
          <w:sz w:val="24"/>
        </w:rPr>
        <w:t>第二年年末计提坏账准备会计分录：</w:t>
      </w:r>
    </w:p>
    <w:p>
      <w:pPr>
        <w:pStyle w:val="BodyText"/>
        <w:spacing w:line="364" w:lineRule="auto"/>
        <w:ind w:left="700" w:right="3255"/>
        <w:jc w:val="both"/>
        <w:rPr>
          <w:rFonts w:ascii="Calibri" w:eastAsia="Calibri"/>
        </w:rPr>
      </w:pPr>
      <w:r>
        <w:rPr>
          <w:spacing w:val="-1"/>
        </w:rPr>
        <w:t>应计提坏账准备数额</w:t>
      </w:r>
      <w:r>
        <w:rPr>
          <w:rFonts w:ascii="Calibri" w:eastAsia="Calibri"/>
        </w:rPr>
        <w:t>=100000*5%-3000=2000</w:t>
      </w:r>
      <w:r>
        <w:rPr/>
        <w:t>（元）</w:t>
      </w:r>
      <w:r>
        <w:rPr>
          <w:spacing w:val="-118"/>
        </w:rPr>
        <w:t> </w:t>
      </w:r>
      <w:r>
        <w:rPr/>
        <w:t>借：信用减值损失 </w:t>
      </w:r>
      <w:r>
        <w:rPr>
          <w:rFonts w:ascii="Calibri" w:eastAsia="Calibri"/>
        </w:rPr>
        <w:t>2000</w:t>
      </w:r>
    </w:p>
    <w:p>
      <w:pPr>
        <w:pStyle w:val="BodyText"/>
        <w:tabs>
          <w:tab w:pos="3099" w:val="left" w:leader="none"/>
        </w:tabs>
        <w:spacing w:before="1"/>
        <w:ind w:left="1180"/>
        <w:rPr>
          <w:rFonts w:ascii="Calibri" w:eastAsia="Calibri"/>
        </w:rPr>
      </w:pPr>
      <w:r>
        <w:rPr/>
        <w:t>贷：坏账准备</w:t>
        <w:tab/>
      </w:r>
      <w:r>
        <w:rPr>
          <w:rFonts w:ascii="Calibri" w:eastAsia="Calibri"/>
        </w:rPr>
        <w:t>2000</w:t>
      </w:r>
    </w:p>
    <w:p>
      <w:pPr>
        <w:pStyle w:val="ListParagraph"/>
        <w:numPr>
          <w:ilvl w:val="0"/>
          <w:numId w:val="5"/>
        </w:numPr>
        <w:tabs>
          <w:tab w:pos="1303" w:val="left" w:leader="none"/>
          <w:tab w:pos="2990" w:val="left" w:leader="none"/>
        </w:tabs>
        <w:spacing w:line="364" w:lineRule="auto" w:before="161" w:after="0"/>
        <w:ind w:left="700" w:right="1105" w:firstLine="0"/>
        <w:jc w:val="left"/>
        <w:rPr>
          <w:rFonts w:ascii="Calibri" w:hAnsi="Calibri" w:eastAsia="Calibri"/>
          <w:sz w:val="24"/>
        </w:rPr>
      </w:pPr>
      <w:r>
        <w:rPr>
          <w:spacing w:val="-1"/>
          <w:sz w:val="24"/>
        </w:rPr>
        <w:t>第三年，已核销坏账的</w:t>
      </w:r>
      <w:r>
        <w:rPr>
          <w:spacing w:val="-60"/>
          <w:sz w:val="24"/>
        </w:rPr>
        <w:t> </w:t>
      </w:r>
      <w:r>
        <w:rPr>
          <w:rFonts w:ascii="Calibri" w:hAnsi="Calibri" w:eastAsia="Calibri"/>
          <w:spacing w:val="-1"/>
          <w:sz w:val="24"/>
        </w:rPr>
        <w:t>B</w:t>
      </w:r>
      <w:r>
        <w:rPr>
          <w:rFonts w:ascii="Calibri" w:hAnsi="Calibri" w:eastAsia="Calibri"/>
          <w:spacing w:val="5"/>
          <w:sz w:val="24"/>
        </w:rPr>
        <w:t> </w:t>
      </w:r>
      <w:r>
        <w:rPr>
          <w:spacing w:val="-1"/>
          <w:sz w:val="24"/>
        </w:rPr>
        <w:t>公司应收账款</w:t>
      </w:r>
      <w:r>
        <w:rPr>
          <w:spacing w:val="-60"/>
          <w:sz w:val="24"/>
        </w:rPr>
        <w:t> </w:t>
      </w:r>
      <w:r>
        <w:rPr>
          <w:rFonts w:ascii="Calibri" w:hAnsi="Calibri" w:eastAsia="Calibri"/>
          <w:sz w:val="24"/>
        </w:rPr>
        <w:t>5000</w:t>
      </w:r>
      <w:r>
        <w:rPr>
          <w:rFonts w:ascii="Calibri" w:hAnsi="Calibri" w:eastAsia="Calibri"/>
          <w:spacing w:val="5"/>
          <w:sz w:val="24"/>
        </w:rPr>
        <w:t> </w:t>
      </w:r>
      <w:r>
        <w:rPr>
          <w:sz w:val="24"/>
        </w:rPr>
        <w:t>元又收回会计分录：</w:t>
      </w:r>
      <w:r>
        <w:rPr>
          <w:spacing w:val="-117"/>
          <w:sz w:val="24"/>
        </w:rPr>
        <w:t> </w:t>
      </w:r>
      <w:r>
        <w:rPr>
          <w:sz w:val="24"/>
        </w:rPr>
        <w:t>借：应收账款——</w:t>
      </w:r>
      <w:r>
        <w:rPr>
          <w:rFonts w:ascii="Calibri" w:hAnsi="Calibri" w:eastAsia="Calibri"/>
          <w:sz w:val="24"/>
        </w:rPr>
        <w:t>B</w:t>
        <w:tab/>
        <w:t>5000</w:t>
      </w:r>
    </w:p>
    <w:p>
      <w:pPr>
        <w:pStyle w:val="BodyText"/>
        <w:tabs>
          <w:tab w:pos="2979" w:val="left" w:leader="none"/>
        </w:tabs>
        <w:spacing w:before="1"/>
        <w:ind w:left="1180"/>
        <w:rPr>
          <w:rFonts w:ascii="Calibri" w:eastAsia="Calibri"/>
        </w:rPr>
      </w:pPr>
      <w:r>
        <w:rPr/>
        <w:t>贷：坏账准备</w:t>
        <w:tab/>
      </w:r>
      <w:r>
        <w:rPr>
          <w:rFonts w:ascii="Calibri" w:eastAsia="Calibri"/>
        </w:rPr>
        <w:t>5000</w:t>
      </w:r>
    </w:p>
    <w:p>
      <w:pPr>
        <w:pStyle w:val="BodyText"/>
        <w:spacing w:before="160"/>
        <w:ind w:left="700"/>
        <w:jc w:val="both"/>
        <w:rPr>
          <w:rFonts w:ascii="Calibri" w:eastAsia="Calibri"/>
        </w:rPr>
      </w:pPr>
      <w:r>
        <w:rPr>
          <w:spacing w:val="17"/>
        </w:rPr>
        <w:t>借：银行存款 </w:t>
      </w:r>
      <w:r>
        <w:rPr>
          <w:rFonts w:ascii="Calibri" w:eastAsia="Calibri"/>
        </w:rPr>
        <w:t>5000</w:t>
      </w:r>
    </w:p>
    <w:p>
      <w:pPr>
        <w:pStyle w:val="BodyText"/>
        <w:tabs>
          <w:tab w:pos="2979" w:val="left" w:leader="none"/>
        </w:tabs>
        <w:ind w:left="1180"/>
        <w:rPr>
          <w:rFonts w:ascii="Calibri" w:eastAsia="Calibri"/>
        </w:rPr>
      </w:pPr>
      <w:r>
        <w:rPr/>
        <w:t>贷：应收账款</w:t>
        <w:tab/>
      </w:r>
      <w:r>
        <w:rPr>
          <w:rFonts w:ascii="Calibri" w:eastAsia="Calibri"/>
        </w:rPr>
        <w:t>5000</w:t>
      </w:r>
    </w:p>
    <w:p>
      <w:pPr>
        <w:spacing w:after="0"/>
        <w:rPr>
          <w:rFonts w:ascii="Calibri" w:eastAsia="Calibri"/>
        </w:rPr>
        <w:sectPr>
          <w:pgSz w:w="11910" w:h="16840"/>
          <w:pgMar w:top="1460" w:bottom="280" w:left="1580" w:right="1060"/>
        </w:sectPr>
      </w:pPr>
    </w:p>
    <w:p>
      <w:pPr>
        <w:spacing w:line="406" w:lineRule="exact" w:before="0"/>
        <w:ind w:left="914" w:right="953" w:firstLine="0"/>
        <w:jc w:val="center"/>
        <w:rPr>
          <w:rFonts w:ascii="Calibri" w:eastAsia="Calibri"/>
          <w:b/>
          <w:sz w:val="24"/>
        </w:rPr>
      </w:pPr>
      <w:r>
        <w:rPr>
          <w:rFonts w:ascii="Microsoft JhengHei" w:eastAsia="Microsoft JhengHei" w:hint="eastAsia"/>
          <w:b/>
          <w:sz w:val="24"/>
        </w:rPr>
        <w:t>形考任务 </w:t>
      </w:r>
      <w:r>
        <w:rPr>
          <w:rFonts w:ascii="Calibri" w:eastAsia="Calibri"/>
          <w:b/>
          <w:sz w:val="24"/>
        </w:rPr>
        <w:t>3</w:t>
      </w:r>
    </w:p>
    <w:p>
      <w:pPr>
        <w:spacing w:before="26"/>
        <w:ind w:left="220" w:right="0" w:firstLine="0"/>
        <w:jc w:val="left"/>
        <w:rPr>
          <w:rFonts w:ascii="Microsoft JhengHei" w:eastAsia="Microsoft JhengHei" w:hint="eastAsia"/>
          <w:b/>
          <w:sz w:val="24"/>
        </w:rPr>
      </w:pPr>
      <w:r>
        <w:rPr>
          <w:rFonts w:ascii="Microsoft JhengHei" w:eastAsia="Microsoft JhengHei" w:hint="eastAsia"/>
          <w:b/>
          <w:sz w:val="24"/>
        </w:rPr>
        <w:t>一、单项选择题（每题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15</w:t>
      </w:r>
      <w:r>
        <w:rPr>
          <w:rFonts w:ascii="Calibri" w:eastAsia="Calibri"/>
          <w:b/>
          <w:spacing w:val="6"/>
          <w:sz w:val="24"/>
        </w:rPr>
        <w:t> </w:t>
      </w:r>
      <w:r>
        <w:rPr>
          <w:rFonts w:ascii="Microsoft JhengHei" w:eastAsia="Microsoft JhengHei" w:hint="eastAsia"/>
          <w:b/>
          <w:sz w:val="24"/>
        </w:rPr>
        <w:t>分）</w:t>
      </w:r>
    </w:p>
    <w:p>
      <w:pPr>
        <w:pStyle w:val="ListParagraph"/>
        <w:numPr>
          <w:ilvl w:val="0"/>
          <w:numId w:val="6"/>
        </w:numPr>
        <w:tabs>
          <w:tab w:pos="404" w:val="left" w:leader="none"/>
          <w:tab w:pos="2562" w:val="left" w:leader="none"/>
        </w:tabs>
        <w:spacing w:line="240" w:lineRule="auto" w:before="106" w:after="0"/>
        <w:ind w:left="403" w:right="0" w:hanging="184"/>
        <w:jc w:val="left"/>
        <w:rPr>
          <w:sz w:val="24"/>
        </w:rPr>
      </w:pPr>
      <w:r>
        <w:rPr>
          <w:sz w:val="24"/>
        </w:rPr>
        <w:t>期间费用不包括（</w:t>
        <w:tab/>
        <w:t>）</w:t>
      </w:r>
    </w:p>
    <w:p>
      <w:pPr>
        <w:pStyle w:val="ListParagraph"/>
        <w:numPr>
          <w:ilvl w:val="1"/>
          <w:numId w:val="6"/>
        </w:numPr>
        <w:tabs>
          <w:tab w:pos="1020" w:val="left" w:leader="none"/>
        </w:tabs>
        <w:spacing w:line="240" w:lineRule="auto" w:before="161" w:after="0"/>
        <w:ind w:left="1019" w:right="0" w:hanging="320"/>
        <w:jc w:val="left"/>
        <w:rPr>
          <w:rFonts w:ascii="Calibri" w:eastAsia="Calibri"/>
          <w:sz w:val="24"/>
        </w:rPr>
      </w:pPr>
      <w:r>
        <w:rPr>
          <w:sz w:val="24"/>
        </w:rPr>
        <w:t>销售费用</w:t>
      </w:r>
    </w:p>
    <w:p>
      <w:pPr>
        <w:pStyle w:val="ListParagraph"/>
        <w:numPr>
          <w:ilvl w:val="1"/>
          <w:numId w:val="6"/>
        </w:numPr>
        <w:tabs>
          <w:tab w:pos="1012" w:val="left" w:leader="none"/>
        </w:tabs>
        <w:spacing w:line="240" w:lineRule="auto" w:before="160" w:after="0"/>
        <w:ind w:left="1011" w:right="0" w:hanging="312"/>
        <w:jc w:val="left"/>
        <w:rPr>
          <w:rFonts w:ascii="Calibri" w:eastAsia="Calibri"/>
          <w:sz w:val="24"/>
        </w:rPr>
      </w:pPr>
      <w:r>
        <w:rPr>
          <w:sz w:val="24"/>
        </w:rPr>
        <w:t>管理费用</w:t>
      </w:r>
    </w:p>
    <w:p>
      <w:pPr>
        <w:pStyle w:val="ListParagraph"/>
        <w:numPr>
          <w:ilvl w:val="1"/>
          <w:numId w:val="6"/>
        </w:numPr>
        <w:tabs>
          <w:tab w:pos="1009" w:val="left" w:leader="none"/>
        </w:tabs>
        <w:spacing w:line="240" w:lineRule="auto" w:before="161" w:after="0"/>
        <w:ind w:left="1008" w:right="0" w:hanging="309"/>
        <w:jc w:val="left"/>
        <w:rPr>
          <w:rFonts w:ascii="Calibri" w:eastAsia="Calibri"/>
          <w:sz w:val="24"/>
        </w:rPr>
      </w:pPr>
      <w:r>
        <w:rPr>
          <w:sz w:val="24"/>
        </w:rPr>
        <w:t>财务费用</w:t>
      </w:r>
    </w:p>
    <w:p>
      <w:pPr>
        <w:pStyle w:val="ListParagraph"/>
        <w:numPr>
          <w:ilvl w:val="1"/>
          <w:numId w:val="6"/>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制造费用</w:t>
      </w:r>
    </w:p>
    <w:p>
      <w:pPr>
        <w:pStyle w:val="ListParagraph"/>
        <w:numPr>
          <w:ilvl w:val="0"/>
          <w:numId w:val="6"/>
        </w:numPr>
        <w:tabs>
          <w:tab w:pos="404" w:val="left" w:leader="none"/>
          <w:tab w:pos="8055" w:val="left" w:leader="none"/>
        </w:tabs>
        <w:spacing w:line="240" w:lineRule="auto" w:before="106" w:after="0"/>
        <w:ind w:left="403" w:right="0" w:hanging="184"/>
        <w:jc w:val="left"/>
        <w:rPr>
          <w:sz w:val="24"/>
        </w:rPr>
      </w:pPr>
      <w:r>
        <w:rPr>
          <w:sz w:val="24"/>
        </w:rPr>
        <w:t>企业如果在开始经营的年份亏损，可用税前利润弥补，但最长期限为（</w:t>
        <w:tab/>
      </w:r>
      <w:r>
        <w:rPr>
          <w:spacing w:val="-5"/>
          <w:sz w:val="24"/>
        </w:rPr>
        <w:t>）年</w:t>
      </w:r>
    </w:p>
    <w:p>
      <w:pPr>
        <w:pStyle w:val="ListParagraph"/>
        <w:numPr>
          <w:ilvl w:val="1"/>
          <w:numId w:val="6"/>
        </w:numPr>
        <w:tabs>
          <w:tab w:pos="964" w:val="left" w:leader="none"/>
        </w:tabs>
        <w:spacing w:line="240" w:lineRule="auto" w:before="81" w:after="0"/>
        <w:ind w:left="963" w:right="0" w:hanging="264"/>
        <w:jc w:val="left"/>
        <w:rPr>
          <w:rFonts w:ascii="Calibri" w:eastAsia="Calibri"/>
          <w:b/>
          <w:color w:val="FF0000"/>
          <w:sz w:val="24"/>
        </w:rPr>
      </w:pPr>
      <w:r>
        <w:rPr>
          <w:rFonts w:ascii="Calibri" w:eastAsia="Calibri"/>
          <w:b/>
          <w:color w:val="FF0000"/>
          <w:sz w:val="24"/>
        </w:rPr>
        <w:t>5</w:t>
      </w:r>
      <w:r>
        <w:rPr>
          <w:rFonts w:ascii="Calibri" w:eastAsia="Calibri"/>
          <w:b/>
          <w:color w:val="FF0000"/>
          <w:spacing w:val="5"/>
          <w:sz w:val="24"/>
        </w:rPr>
        <w:t> </w:t>
      </w:r>
      <w:r>
        <w:rPr>
          <w:rFonts w:ascii="Microsoft JhengHei" w:eastAsia="Microsoft JhengHei" w:hint="eastAsia"/>
          <w:b/>
          <w:color w:val="FF0000"/>
          <w:sz w:val="24"/>
        </w:rPr>
        <w:t>年</w:t>
      </w:r>
    </w:p>
    <w:p>
      <w:pPr>
        <w:pStyle w:val="ListParagraph"/>
        <w:numPr>
          <w:ilvl w:val="1"/>
          <w:numId w:val="6"/>
        </w:numPr>
        <w:tabs>
          <w:tab w:pos="946" w:val="left" w:leader="none"/>
        </w:tabs>
        <w:spacing w:line="240" w:lineRule="auto" w:before="106" w:after="0"/>
        <w:ind w:left="945" w:right="0" w:hanging="246"/>
        <w:jc w:val="left"/>
        <w:rPr>
          <w:rFonts w:ascii="Calibri" w:eastAsia="Calibri"/>
          <w:sz w:val="24"/>
        </w:rPr>
      </w:pPr>
      <w:r>
        <w:rPr>
          <w:rFonts w:ascii="Calibri" w:eastAsia="Calibri"/>
          <w:sz w:val="24"/>
        </w:rPr>
        <w:t>10</w:t>
      </w:r>
      <w:r>
        <w:rPr>
          <w:rFonts w:ascii="Calibri" w:eastAsia="Calibri"/>
          <w:spacing w:val="5"/>
          <w:sz w:val="24"/>
        </w:rPr>
        <w:t> </w:t>
      </w:r>
      <w:r>
        <w:rPr>
          <w:sz w:val="24"/>
        </w:rPr>
        <w:t>年</w:t>
      </w:r>
    </w:p>
    <w:p>
      <w:pPr>
        <w:pStyle w:val="ListParagraph"/>
        <w:numPr>
          <w:ilvl w:val="1"/>
          <w:numId w:val="6"/>
        </w:numPr>
        <w:tabs>
          <w:tab w:pos="943" w:val="left" w:leader="none"/>
        </w:tabs>
        <w:spacing w:line="240" w:lineRule="auto" w:before="161" w:after="0"/>
        <w:ind w:left="942" w:right="0" w:hanging="243"/>
        <w:jc w:val="left"/>
        <w:rPr>
          <w:rFonts w:ascii="Calibri" w:eastAsia="Calibri"/>
          <w:sz w:val="24"/>
        </w:rPr>
      </w:pPr>
      <w:r>
        <w:rPr>
          <w:rFonts w:ascii="Calibri" w:eastAsia="Calibri"/>
          <w:sz w:val="24"/>
        </w:rPr>
        <w:t>3</w:t>
      </w:r>
      <w:r>
        <w:rPr>
          <w:rFonts w:ascii="Calibri" w:eastAsia="Calibri"/>
          <w:spacing w:val="5"/>
          <w:sz w:val="24"/>
        </w:rPr>
        <w:t> </w:t>
      </w:r>
      <w:r>
        <w:rPr>
          <w:sz w:val="24"/>
        </w:rPr>
        <w:t>年</w:t>
      </w:r>
    </w:p>
    <w:p>
      <w:pPr>
        <w:pStyle w:val="ListParagraph"/>
        <w:numPr>
          <w:ilvl w:val="1"/>
          <w:numId w:val="6"/>
        </w:numPr>
        <w:tabs>
          <w:tab w:pos="963" w:val="left" w:leader="none"/>
        </w:tabs>
        <w:spacing w:line="240" w:lineRule="auto" w:before="160" w:after="0"/>
        <w:ind w:left="962" w:right="0" w:hanging="263"/>
        <w:jc w:val="left"/>
        <w:rPr>
          <w:rFonts w:ascii="Calibri" w:eastAsia="Calibri"/>
          <w:sz w:val="24"/>
        </w:rPr>
      </w:pPr>
      <w:r>
        <w:rPr>
          <w:rFonts w:ascii="Calibri" w:eastAsia="Calibri"/>
          <w:sz w:val="24"/>
        </w:rPr>
        <w:t>6</w:t>
      </w:r>
      <w:r>
        <w:rPr>
          <w:rFonts w:ascii="Calibri" w:eastAsia="Calibri"/>
          <w:spacing w:val="5"/>
          <w:sz w:val="24"/>
        </w:rPr>
        <w:t> </w:t>
      </w:r>
      <w:r>
        <w:rPr>
          <w:sz w:val="24"/>
        </w:rPr>
        <w:t>年</w:t>
      </w:r>
    </w:p>
    <w:p>
      <w:pPr>
        <w:pStyle w:val="ListParagraph"/>
        <w:numPr>
          <w:ilvl w:val="0"/>
          <w:numId w:val="6"/>
        </w:numPr>
        <w:tabs>
          <w:tab w:pos="404" w:val="left" w:leader="none"/>
          <w:tab w:pos="4722" w:val="left" w:leader="none"/>
        </w:tabs>
        <w:spacing w:line="240" w:lineRule="auto" w:before="161" w:after="0"/>
        <w:ind w:left="403" w:right="0" w:hanging="184"/>
        <w:jc w:val="left"/>
        <w:rPr>
          <w:sz w:val="24"/>
        </w:rPr>
      </w:pPr>
      <w:r>
        <w:rPr>
          <w:sz w:val="24"/>
        </w:rPr>
        <w:t>企业计提法定公积金超过注册资本的（</w:t>
        <w:tab/>
        <w:t>）之后，可不再提。</w:t>
      </w:r>
    </w:p>
    <w:p>
      <w:pPr>
        <w:spacing w:before="165"/>
        <w:ind w:left="700" w:right="0" w:firstLine="0"/>
        <w:jc w:val="left"/>
        <w:rPr>
          <w:rFonts w:ascii="Calibri"/>
          <w:b/>
          <w:sz w:val="24"/>
        </w:rPr>
      </w:pPr>
      <w:r>
        <w:rPr>
          <w:rFonts w:ascii="Calibri"/>
          <w:b/>
          <w:color w:val="FF0000"/>
          <w:sz w:val="24"/>
        </w:rPr>
        <w:t>A. 50%</w:t>
      </w:r>
    </w:p>
    <w:p>
      <w:pPr>
        <w:pStyle w:val="BodyText"/>
        <w:spacing w:before="176"/>
        <w:ind w:left="700"/>
        <w:rPr>
          <w:rFonts w:ascii="Calibri"/>
        </w:rPr>
      </w:pPr>
      <w:r>
        <w:rPr>
          <w:rFonts w:ascii="Calibri"/>
        </w:rPr>
        <w:t>B. 30%</w:t>
      </w:r>
    </w:p>
    <w:p>
      <w:pPr>
        <w:pStyle w:val="BodyText"/>
        <w:spacing w:before="175"/>
        <w:ind w:left="700"/>
        <w:rPr>
          <w:rFonts w:ascii="Calibri"/>
        </w:rPr>
      </w:pPr>
      <w:r>
        <w:rPr>
          <w:rFonts w:ascii="Calibri"/>
        </w:rPr>
        <w:t>C.</w:t>
      </w:r>
      <w:r>
        <w:rPr>
          <w:rFonts w:ascii="Calibri"/>
          <w:spacing w:val="-1"/>
        </w:rPr>
        <w:t> </w:t>
      </w:r>
      <w:r>
        <w:rPr>
          <w:rFonts w:ascii="Calibri"/>
        </w:rPr>
        <w:t>51%</w:t>
      </w:r>
    </w:p>
    <w:p>
      <w:pPr>
        <w:pStyle w:val="BodyText"/>
        <w:spacing w:before="175"/>
        <w:ind w:left="700"/>
        <w:rPr>
          <w:rFonts w:ascii="Calibri"/>
        </w:rPr>
      </w:pPr>
      <w:r>
        <w:rPr>
          <w:rFonts w:ascii="Calibri"/>
        </w:rPr>
        <w:t>D.</w:t>
      </w:r>
      <w:r>
        <w:rPr>
          <w:rFonts w:ascii="Calibri"/>
          <w:spacing w:val="-1"/>
        </w:rPr>
        <w:t> </w:t>
      </w:r>
      <w:r>
        <w:rPr>
          <w:rFonts w:ascii="Calibri"/>
        </w:rPr>
        <w:t>60%</w:t>
      </w:r>
    </w:p>
    <w:p>
      <w:pPr>
        <w:pStyle w:val="ListParagraph"/>
        <w:numPr>
          <w:ilvl w:val="0"/>
          <w:numId w:val="6"/>
        </w:numPr>
        <w:tabs>
          <w:tab w:pos="404" w:val="left" w:leader="none"/>
          <w:tab w:pos="1659" w:val="left" w:leader="none"/>
        </w:tabs>
        <w:spacing w:line="364" w:lineRule="auto" w:before="169" w:after="0"/>
        <w:ind w:left="220" w:right="737" w:firstLine="0"/>
        <w:jc w:val="left"/>
        <w:rPr>
          <w:sz w:val="24"/>
        </w:rPr>
      </w:pPr>
      <w:r>
        <w:rPr>
          <w:spacing w:val="-2"/>
          <w:sz w:val="24"/>
        </w:rPr>
        <w:t>我国企业</w:t>
      </w:r>
      <w:r>
        <w:rPr>
          <w:spacing w:val="-1"/>
          <w:sz w:val="24"/>
        </w:rPr>
        <w:t>会计准则对收入的确认要求为：收入只有在经济利益很可能流入从而</w:t>
      </w:r>
      <w:r>
        <w:rPr>
          <w:sz w:val="24"/>
        </w:rPr>
        <w:t>导致企业（</w:t>
        <w:tab/>
        <w:t>）且经济利益的流入额能够可靠计量时才能予以确认。</w:t>
      </w:r>
    </w:p>
    <w:p>
      <w:pPr>
        <w:pStyle w:val="ListParagraph"/>
        <w:numPr>
          <w:ilvl w:val="1"/>
          <w:numId w:val="6"/>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资产增加或者负债减少</w:t>
      </w:r>
    </w:p>
    <w:p>
      <w:pPr>
        <w:pStyle w:val="ListParagraph"/>
        <w:numPr>
          <w:ilvl w:val="1"/>
          <w:numId w:val="6"/>
        </w:numPr>
        <w:tabs>
          <w:tab w:pos="1012" w:val="left" w:leader="none"/>
        </w:tabs>
        <w:spacing w:line="240" w:lineRule="auto" w:before="106" w:after="0"/>
        <w:ind w:left="1011" w:right="0" w:hanging="312"/>
        <w:jc w:val="left"/>
        <w:rPr>
          <w:rFonts w:ascii="Calibri" w:eastAsia="Calibri"/>
          <w:sz w:val="24"/>
        </w:rPr>
      </w:pPr>
      <w:r>
        <w:rPr>
          <w:sz w:val="24"/>
        </w:rPr>
        <w:t>资产或者负债同步增加</w:t>
      </w:r>
    </w:p>
    <w:p>
      <w:pPr>
        <w:pStyle w:val="ListParagraph"/>
        <w:numPr>
          <w:ilvl w:val="1"/>
          <w:numId w:val="6"/>
        </w:numPr>
        <w:tabs>
          <w:tab w:pos="1009" w:val="left" w:leader="none"/>
        </w:tabs>
        <w:spacing w:line="240" w:lineRule="auto" w:before="161" w:after="0"/>
        <w:ind w:left="1008" w:right="0" w:hanging="309"/>
        <w:jc w:val="left"/>
        <w:rPr>
          <w:rFonts w:ascii="Calibri" w:eastAsia="Calibri"/>
          <w:sz w:val="24"/>
        </w:rPr>
      </w:pPr>
      <w:r>
        <w:rPr>
          <w:sz w:val="24"/>
        </w:rPr>
        <w:t>资产减少或者负债增加</w:t>
      </w:r>
    </w:p>
    <w:p>
      <w:pPr>
        <w:pStyle w:val="ListParagraph"/>
        <w:numPr>
          <w:ilvl w:val="1"/>
          <w:numId w:val="6"/>
        </w:numPr>
        <w:tabs>
          <w:tab w:pos="1029" w:val="left" w:leader="none"/>
        </w:tabs>
        <w:spacing w:line="240" w:lineRule="auto" w:before="160" w:after="0"/>
        <w:ind w:left="1028" w:right="0" w:hanging="329"/>
        <w:jc w:val="left"/>
        <w:rPr>
          <w:rFonts w:ascii="Calibri" w:eastAsia="Calibri"/>
          <w:sz w:val="24"/>
        </w:rPr>
      </w:pPr>
      <w:r>
        <w:rPr>
          <w:sz w:val="24"/>
        </w:rPr>
        <w:t>资产或者负债同步减少</w:t>
      </w:r>
    </w:p>
    <w:p>
      <w:pPr>
        <w:pStyle w:val="ListParagraph"/>
        <w:numPr>
          <w:ilvl w:val="0"/>
          <w:numId w:val="6"/>
        </w:numPr>
        <w:tabs>
          <w:tab w:pos="404" w:val="left" w:leader="none"/>
          <w:tab w:pos="3522" w:val="left" w:leader="none"/>
        </w:tabs>
        <w:spacing w:line="240" w:lineRule="auto" w:before="161" w:after="0"/>
        <w:ind w:left="403" w:right="0" w:hanging="184"/>
        <w:jc w:val="left"/>
        <w:rPr>
          <w:sz w:val="24"/>
        </w:rPr>
      </w:pPr>
      <w:r>
        <w:rPr>
          <w:sz w:val="24"/>
        </w:rPr>
        <w:t>下列不属于管理费用的是（</w:t>
        <w:tab/>
      </w:r>
      <w:r>
        <w:rPr>
          <w:spacing w:val="-120"/>
          <w:sz w:val="24"/>
        </w:rPr>
        <w:t>）</w:t>
      </w:r>
      <w:r>
        <w:rPr>
          <w:sz w:val="24"/>
        </w:rPr>
        <w:t>。</w:t>
      </w:r>
    </w:p>
    <w:p>
      <w:pPr>
        <w:pStyle w:val="ListParagraph"/>
        <w:numPr>
          <w:ilvl w:val="1"/>
          <w:numId w:val="6"/>
        </w:numPr>
        <w:tabs>
          <w:tab w:pos="1020" w:val="left" w:leader="none"/>
        </w:tabs>
        <w:spacing w:line="240" w:lineRule="auto" w:before="160" w:after="0"/>
        <w:ind w:left="1019" w:right="0" w:hanging="320"/>
        <w:jc w:val="left"/>
        <w:rPr>
          <w:rFonts w:ascii="Calibri" w:eastAsia="Calibri"/>
          <w:sz w:val="24"/>
        </w:rPr>
      </w:pPr>
      <w:r>
        <w:rPr>
          <w:sz w:val="24"/>
        </w:rPr>
        <w:t>咨询费</w:t>
      </w:r>
    </w:p>
    <w:p>
      <w:pPr>
        <w:pStyle w:val="ListParagraph"/>
        <w:numPr>
          <w:ilvl w:val="1"/>
          <w:numId w:val="6"/>
        </w:numPr>
        <w:tabs>
          <w:tab w:pos="1012" w:val="left" w:leader="none"/>
        </w:tabs>
        <w:spacing w:line="240" w:lineRule="auto" w:before="161" w:after="0"/>
        <w:ind w:left="1011" w:right="0" w:hanging="312"/>
        <w:jc w:val="left"/>
        <w:rPr>
          <w:rFonts w:ascii="Calibri" w:eastAsia="Calibri"/>
          <w:sz w:val="24"/>
        </w:rPr>
      </w:pPr>
      <w:r>
        <w:rPr>
          <w:sz w:val="24"/>
        </w:rPr>
        <w:t>业务招待费</w:t>
      </w:r>
    </w:p>
    <w:p>
      <w:pPr>
        <w:pStyle w:val="ListParagraph"/>
        <w:numPr>
          <w:ilvl w:val="1"/>
          <w:numId w:val="6"/>
        </w:numPr>
        <w:tabs>
          <w:tab w:pos="1009" w:val="left" w:leader="none"/>
        </w:tabs>
        <w:spacing w:line="240" w:lineRule="auto" w:before="160" w:after="0"/>
        <w:ind w:left="1008" w:right="0" w:hanging="309"/>
        <w:jc w:val="left"/>
        <w:rPr>
          <w:rFonts w:ascii="Calibri" w:eastAsia="Calibri"/>
          <w:sz w:val="24"/>
        </w:rPr>
      </w:pPr>
      <w:r>
        <w:rPr>
          <w:sz w:val="24"/>
        </w:rPr>
        <w:t>工会经费</w:t>
      </w:r>
    </w:p>
    <w:p>
      <w:pPr>
        <w:pStyle w:val="ListParagraph"/>
        <w:numPr>
          <w:ilvl w:val="1"/>
          <w:numId w:val="6"/>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包装费</w:t>
      </w:r>
    </w:p>
    <w:p>
      <w:pPr>
        <w:spacing w:before="27"/>
        <w:ind w:left="220" w:right="0" w:firstLine="0"/>
        <w:jc w:val="left"/>
        <w:rPr>
          <w:rFonts w:ascii="Microsoft JhengHei" w:eastAsia="Microsoft JhengHei" w:hint="eastAsia"/>
          <w:b/>
          <w:sz w:val="24"/>
        </w:rPr>
      </w:pPr>
      <w:r>
        <w:rPr>
          <w:rFonts w:ascii="Microsoft JhengHei" w:eastAsia="Microsoft JhengHei" w:hint="eastAsia"/>
          <w:b/>
          <w:sz w:val="24"/>
        </w:rPr>
        <w:t>二、多项选择题（每题 </w:t>
      </w:r>
      <w:r>
        <w:rPr>
          <w:rFonts w:ascii="Calibri" w:eastAsia="Calibri"/>
          <w:b/>
          <w:sz w:val="24"/>
        </w:rPr>
        <w:t>5</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25</w:t>
      </w:r>
      <w:r>
        <w:rPr>
          <w:rFonts w:ascii="Calibri" w:eastAsia="Calibri"/>
          <w:b/>
          <w:spacing w:val="6"/>
          <w:sz w:val="24"/>
        </w:rPr>
        <w:t> </w:t>
      </w:r>
      <w:r>
        <w:rPr>
          <w:rFonts w:ascii="Microsoft JhengHei" w:eastAsia="Microsoft JhengHei" w:hint="eastAsia"/>
          <w:b/>
          <w:sz w:val="24"/>
        </w:rPr>
        <w:t>分）</w:t>
      </w:r>
    </w:p>
    <w:p>
      <w:pPr>
        <w:spacing w:after="0"/>
        <w:jc w:val="left"/>
        <w:rPr>
          <w:rFonts w:ascii="Microsoft JhengHei" w:eastAsia="Microsoft JhengHei" w:hint="eastAsia"/>
          <w:sz w:val="24"/>
        </w:rPr>
        <w:sectPr>
          <w:pgSz w:w="11910" w:h="16840"/>
          <w:pgMar w:top="1460" w:bottom="280" w:left="1580" w:right="1060"/>
        </w:sectPr>
      </w:pPr>
    </w:p>
    <w:p>
      <w:pPr>
        <w:pStyle w:val="ListParagraph"/>
        <w:numPr>
          <w:ilvl w:val="0"/>
          <w:numId w:val="6"/>
        </w:numPr>
        <w:tabs>
          <w:tab w:pos="404" w:val="left" w:leader="none"/>
          <w:tab w:pos="2322" w:val="left" w:leader="none"/>
        </w:tabs>
        <w:spacing w:line="240" w:lineRule="auto" w:before="44" w:after="0"/>
        <w:ind w:left="403" w:right="0" w:hanging="184"/>
        <w:jc w:val="left"/>
        <w:rPr>
          <w:sz w:val="24"/>
        </w:rPr>
      </w:pPr>
      <w:r>
        <w:rPr>
          <w:sz w:val="24"/>
        </w:rPr>
        <w:t>职工薪酬包括（</w:t>
        <w:tab/>
      </w:r>
      <w:r>
        <w:rPr>
          <w:spacing w:val="-120"/>
          <w:sz w:val="24"/>
        </w:rPr>
        <w:t>）</w:t>
      </w:r>
      <w:r>
        <w:rPr>
          <w:sz w:val="24"/>
        </w:rPr>
        <w:t>。</w:t>
      </w:r>
    </w:p>
    <w:p>
      <w:pPr>
        <w:pStyle w:val="ListParagraph"/>
        <w:numPr>
          <w:ilvl w:val="1"/>
          <w:numId w:val="6"/>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短期薪酬</w:t>
      </w:r>
    </w:p>
    <w:p>
      <w:pPr>
        <w:pStyle w:val="ListParagraph"/>
        <w:numPr>
          <w:ilvl w:val="1"/>
          <w:numId w:val="6"/>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离职后福利</w:t>
      </w:r>
    </w:p>
    <w:p>
      <w:pPr>
        <w:pStyle w:val="ListParagraph"/>
        <w:numPr>
          <w:ilvl w:val="1"/>
          <w:numId w:val="6"/>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辞退福利</w:t>
      </w:r>
    </w:p>
    <w:p>
      <w:pPr>
        <w:pStyle w:val="ListParagraph"/>
        <w:numPr>
          <w:ilvl w:val="1"/>
          <w:numId w:val="6"/>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其他长期职工福利</w:t>
      </w:r>
    </w:p>
    <w:p>
      <w:pPr>
        <w:pStyle w:val="ListParagraph"/>
        <w:numPr>
          <w:ilvl w:val="0"/>
          <w:numId w:val="6"/>
        </w:numPr>
        <w:tabs>
          <w:tab w:pos="404" w:val="left" w:leader="none"/>
          <w:tab w:pos="5442" w:val="left" w:leader="none"/>
        </w:tabs>
        <w:spacing w:line="240" w:lineRule="auto" w:before="106" w:after="0"/>
        <w:ind w:left="403" w:right="0" w:hanging="184"/>
        <w:jc w:val="left"/>
        <w:rPr>
          <w:sz w:val="24"/>
        </w:rPr>
      </w:pPr>
      <w:r>
        <w:rPr>
          <w:sz w:val="24"/>
        </w:rPr>
        <w:t>不通过应交税费”科目进行汇总并上缴的是（</w:t>
        <w:tab/>
      </w:r>
      <w:r>
        <w:rPr>
          <w:spacing w:val="-120"/>
          <w:sz w:val="24"/>
        </w:rPr>
        <w:t>）</w:t>
      </w:r>
      <w:r>
        <w:rPr>
          <w:sz w:val="24"/>
        </w:rPr>
        <w:t>。</w:t>
      </w:r>
    </w:p>
    <w:p>
      <w:pPr>
        <w:pStyle w:val="ListParagraph"/>
        <w:numPr>
          <w:ilvl w:val="1"/>
          <w:numId w:val="6"/>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印花税</w:t>
      </w:r>
    </w:p>
    <w:p>
      <w:pPr>
        <w:pStyle w:val="ListParagraph"/>
        <w:numPr>
          <w:ilvl w:val="1"/>
          <w:numId w:val="6"/>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耕地占用税</w:t>
      </w:r>
    </w:p>
    <w:p>
      <w:pPr>
        <w:pStyle w:val="ListParagraph"/>
        <w:numPr>
          <w:ilvl w:val="1"/>
          <w:numId w:val="6"/>
        </w:numPr>
        <w:tabs>
          <w:tab w:pos="1009" w:val="left" w:leader="none"/>
        </w:tabs>
        <w:spacing w:line="240" w:lineRule="auto" w:before="106" w:after="0"/>
        <w:ind w:left="1008" w:right="0" w:hanging="309"/>
        <w:jc w:val="left"/>
        <w:rPr>
          <w:rFonts w:ascii="Calibri" w:eastAsia="Calibri"/>
          <w:sz w:val="24"/>
        </w:rPr>
      </w:pPr>
      <w:r>
        <w:rPr>
          <w:sz w:val="24"/>
        </w:rPr>
        <w:t>车船税</w:t>
      </w:r>
    </w:p>
    <w:p>
      <w:pPr>
        <w:pStyle w:val="ListParagraph"/>
        <w:numPr>
          <w:ilvl w:val="1"/>
          <w:numId w:val="6"/>
        </w:numPr>
        <w:tabs>
          <w:tab w:pos="1029" w:val="left" w:leader="none"/>
        </w:tabs>
        <w:spacing w:line="240" w:lineRule="auto" w:before="160" w:after="0"/>
        <w:ind w:left="1028" w:right="0" w:hanging="329"/>
        <w:jc w:val="left"/>
        <w:rPr>
          <w:rFonts w:ascii="Calibri" w:eastAsia="Calibri"/>
          <w:sz w:val="24"/>
        </w:rPr>
      </w:pPr>
      <w:r>
        <w:rPr>
          <w:sz w:val="24"/>
        </w:rPr>
        <w:t>消费税</w:t>
      </w:r>
    </w:p>
    <w:p>
      <w:pPr>
        <w:pStyle w:val="ListParagraph"/>
        <w:numPr>
          <w:ilvl w:val="0"/>
          <w:numId w:val="6"/>
        </w:numPr>
        <w:tabs>
          <w:tab w:pos="404" w:val="left" w:leader="none"/>
          <w:tab w:pos="8082" w:val="left" w:leader="none"/>
        </w:tabs>
        <w:spacing w:line="240" w:lineRule="auto" w:before="161" w:after="0"/>
        <w:ind w:left="403" w:right="0" w:hanging="184"/>
        <w:jc w:val="left"/>
        <w:rPr>
          <w:sz w:val="24"/>
        </w:rPr>
      </w:pPr>
      <w:r>
        <w:rPr>
          <w:sz w:val="24"/>
        </w:rPr>
        <w:t>与或有事项相关的义务同时满足下列条件的，应当确认为预计负债：（</w:t>
        <w:tab/>
      </w:r>
      <w:r>
        <w:rPr>
          <w:spacing w:val="-120"/>
          <w:sz w:val="24"/>
        </w:rPr>
        <w:t>）</w:t>
      </w:r>
      <w:r>
        <w:rPr>
          <w:sz w:val="24"/>
        </w:rPr>
        <w:t>。</w:t>
      </w:r>
    </w:p>
    <w:p>
      <w:pPr>
        <w:pStyle w:val="ListParagraph"/>
        <w:numPr>
          <w:ilvl w:val="1"/>
          <w:numId w:val="6"/>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该义务是企业承担的现时义务；</w:t>
      </w:r>
    </w:p>
    <w:p>
      <w:pPr>
        <w:pStyle w:val="ListParagraph"/>
        <w:numPr>
          <w:ilvl w:val="1"/>
          <w:numId w:val="6"/>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履行该义务很可参导致经济利益流出企业；</w:t>
      </w:r>
    </w:p>
    <w:p>
      <w:pPr>
        <w:pStyle w:val="ListParagraph"/>
        <w:numPr>
          <w:ilvl w:val="1"/>
          <w:numId w:val="6"/>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该义务的金额能够可靠计量。</w:t>
      </w:r>
    </w:p>
    <w:p>
      <w:pPr>
        <w:pStyle w:val="ListParagraph"/>
        <w:numPr>
          <w:ilvl w:val="1"/>
          <w:numId w:val="6"/>
        </w:numPr>
        <w:tabs>
          <w:tab w:pos="1029" w:val="left" w:leader="none"/>
        </w:tabs>
        <w:spacing w:line="240" w:lineRule="auto" w:before="106" w:after="0"/>
        <w:ind w:left="1028" w:right="0" w:hanging="329"/>
        <w:jc w:val="left"/>
        <w:rPr>
          <w:rFonts w:ascii="Calibri" w:eastAsia="Calibri"/>
          <w:sz w:val="24"/>
        </w:rPr>
      </w:pPr>
      <w:r>
        <w:rPr>
          <w:sz w:val="24"/>
        </w:rPr>
        <w:t>该义务是企业承担的未来义务</w:t>
      </w:r>
    </w:p>
    <w:p>
      <w:pPr>
        <w:pStyle w:val="ListParagraph"/>
        <w:numPr>
          <w:ilvl w:val="0"/>
          <w:numId w:val="6"/>
        </w:numPr>
        <w:tabs>
          <w:tab w:pos="404" w:val="left" w:leader="none"/>
          <w:tab w:pos="3282" w:val="left" w:leader="none"/>
        </w:tabs>
        <w:spacing w:line="240" w:lineRule="auto" w:before="161" w:after="0"/>
        <w:ind w:left="403" w:right="0" w:hanging="184"/>
        <w:jc w:val="left"/>
        <w:rPr>
          <w:sz w:val="24"/>
        </w:rPr>
      </w:pPr>
      <w:r>
        <w:rPr>
          <w:sz w:val="24"/>
        </w:rPr>
        <w:t>以下属于销售费用的有（</w:t>
        <w:tab/>
      </w:r>
      <w:r>
        <w:rPr>
          <w:spacing w:val="-120"/>
          <w:sz w:val="24"/>
        </w:rPr>
        <w:t>）</w:t>
      </w:r>
      <w:r>
        <w:rPr>
          <w:sz w:val="24"/>
        </w:rPr>
        <w:t>。</w:t>
      </w:r>
    </w:p>
    <w:p>
      <w:pPr>
        <w:pStyle w:val="ListParagraph"/>
        <w:numPr>
          <w:ilvl w:val="1"/>
          <w:numId w:val="6"/>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销售过程中发生的广告费用</w:t>
      </w:r>
    </w:p>
    <w:p>
      <w:pPr>
        <w:pStyle w:val="ListParagraph"/>
        <w:numPr>
          <w:ilvl w:val="1"/>
          <w:numId w:val="6"/>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销售人员工资</w:t>
      </w:r>
    </w:p>
    <w:p>
      <w:pPr>
        <w:pStyle w:val="ListParagraph"/>
        <w:numPr>
          <w:ilvl w:val="1"/>
          <w:numId w:val="6"/>
        </w:numPr>
        <w:tabs>
          <w:tab w:pos="1009" w:val="left" w:leader="none"/>
        </w:tabs>
        <w:spacing w:line="240" w:lineRule="auto" w:before="106" w:after="0"/>
        <w:ind w:left="1008" w:right="0" w:hanging="309"/>
        <w:jc w:val="left"/>
        <w:rPr>
          <w:rFonts w:ascii="Calibri" w:eastAsia="Calibri"/>
          <w:sz w:val="24"/>
        </w:rPr>
      </w:pPr>
      <w:r>
        <w:rPr>
          <w:sz w:val="24"/>
        </w:rPr>
        <w:t>企业财务部发生的印花税</w:t>
      </w:r>
    </w:p>
    <w:p>
      <w:pPr>
        <w:pStyle w:val="ListParagraph"/>
        <w:numPr>
          <w:ilvl w:val="1"/>
          <w:numId w:val="6"/>
        </w:numPr>
        <w:tabs>
          <w:tab w:pos="1029" w:val="left" w:leader="none"/>
        </w:tabs>
        <w:spacing w:line="240" w:lineRule="auto" w:before="160" w:after="0"/>
        <w:ind w:left="1028" w:right="0" w:hanging="329"/>
        <w:jc w:val="left"/>
        <w:rPr>
          <w:rFonts w:ascii="Calibri" w:eastAsia="Calibri"/>
          <w:sz w:val="24"/>
        </w:rPr>
      </w:pPr>
      <w:r>
        <w:rPr>
          <w:sz w:val="24"/>
        </w:rPr>
        <w:t>企业总部管理人员发生的业务招待费</w:t>
      </w:r>
    </w:p>
    <w:p>
      <w:pPr>
        <w:pStyle w:val="ListParagraph"/>
        <w:numPr>
          <w:ilvl w:val="0"/>
          <w:numId w:val="6"/>
        </w:numPr>
        <w:tabs>
          <w:tab w:pos="525" w:val="left" w:leader="none"/>
          <w:tab w:pos="2923" w:val="left" w:leader="none"/>
        </w:tabs>
        <w:spacing w:line="240" w:lineRule="auto" w:before="161" w:after="0"/>
        <w:ind w:left="524" w:right="0" w:hanging="305"/>
        <w:jc w:val="left"/>
        <w:rPr>
          <w:sz w:val="24"/>
        </w:rPr>
      </w:pPr>
      <w:r>
        <w:rPr>
          <w:sz w:val="24"/>
        </w:rPr>
        <w:t>债券发行的价格有（</w:t>
        <w:tab/>
      </w:r>
      <w:r>
        <w:rPr>
          <w:spacing w:val="-120"/>
          <w:sz w:val="24"/>
        </w:rPr>
        <w:t>）</w:t>
      </w:r>
      <w:r>
        <w:rPr>
          <w:sz w:val="24"/>
        </w:rPr>
        <w:t>。</w:t>
      </w:r>
    </w:p>
    <w:p>
      <w:pPr>
        <w:pStyle w:val="ListParagraph"/>
        <w:numPr>
          <w:ilvl w:val="1"/>
          <w:numId w:val="6"/>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面值发行</w:t>
      </w:r>
    </w:p>
    <w:p>
      <w:pPr>
        <w:pStyle w:val="ListParagraph"/>
        <w:numPr>
          <w:ilvl w:val="1"/>
          <w:numId w:val="6"/>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溢价发行</w:t>
      </w:r>
    </w:p>
    <w:p>
      <w:pPr>
        <w:pStyle w:val="ListParagraph"/>
        <w:numPr>
          <w:ilvl w:val="1"/>
          <w:numId w:val="6"/>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折价发行</w:t>
      </w:r>
    </w:p>
    <w:p>
      <w:pPr>
        <w:pStyle w:val="ListParagraph"/>
        <w:numPr>
          <w:ilvl w:val="1"/>
          <w:numId w:val="6"/>
        </w:numPr>
        <w:tabs>
          <w:tab w:pos="1029" w:val="left" w:leader="none"/>
        </w:tabs>
        <w:spacing w:line="240" w:lineRule="auto" w:before="106" w:after="0"/>
        <w:ind w:left="1028" w:right="0" w:hanging="329"/>
        <w:jc w:val="left"/>
        <w:rPr>
          <w:rFonts w:ascii="Calibri" w:eastAsia="Calibri"/>
          <w:sz w:val="24"/>
        </w:rPr>
      </w:pPr>
      <w:r>
        <w:rPr>
          <w:sz w:val="24"/>
        </w:rPr>
        <w:t>其他价格</w:t>
      </w:r>
    </w:p>
    <w:p>
      <w:pPr>
        <w:spacing w:before="82"/>
        <w:ind w:left="220" w:right="0" w:firstLine="0"/>
        <w:jc w:val="left"/>
        <w:rPr>
          <w:rFonts w:ascii="Microsoft JhengHei" w:eastAsia="Microsoft JhengHei" w:hint="eastAsia"/>
          <w:b/>
          <w:sz w:val="24"/>
        </w:rPr>
      </w:pPr>
      <w:r>
        <w:rPr>
          <w:rFonts w:ascii="Microsoft JhengHei" w:eastAsia="Microsoft JhengHei" w:hint="eastAsia"/>
          <w:b/>
          <w:sz w:val="24"/>
        </w:rPr>
        <w:t>三、判断题（每题 </w:t>
      </w:r>
      <w:r>
        <w:rPr>
          <w:rFonts w:ascii="Calibri" w:eastAsia="Calibri"/>
          <w:b/>
          <w:sz w:val="24"/>
        </w:rPr>
        <w:t>4</w:t>
      </w:r>
      <w:r>
        <w:rPr>
          <w:rFonts w:ascii="Calibri" w:eastAsia="Calibri"/>
          <w:b/>
          <w:spacing w:val="5"/>
          <w:sz w:val="24"/>
        </w:rPr>
        <w:t> </w:t>
      </w:r>
      <w:r>
        <w:rPr>
          <w:rFonts w:ascii="Microsoft JhengHei" w:eastAsia="Microsoft JhengHei" w:hint="eastAsia"/>
          <w:b/>
          <w:sz w:val="24"/>
        </w:rPr>
        <w:t>分，共 </w:t>
      </w:r>
      <w:r>
        <w:rPr>
          <w:rFonts w:ascii="Calibri" w:eastAsia="Calibri"/>
          <w:b/>
          <w:sz w:val="24"/>
        </w:rPr>
        <w:t>20</w:t>
      </w:r>
      <w:r>
        <w:rPr>
          <w:rFonts w:ascii="Calibri" w:eastAsia="Calibri"/>
          <w:b/>
          <w:spacing w:val="5"/>
          <w:sz w:val="24"/>
        </w:rPr>
        <w:t> </w:t>
      </w:r>
      <w:r>
        <w:rPr>
          <w:rFonts w:ascii="Microsoft JhengHei" w:eastAsia="Microsoft JhengHei" w:hint="eastAsia"/>
          <w:b/>
          <w:sz w:val="24"/>
        </w:rPr>
        <w:t>分）</w:t>
      </w:r>
    </w:p>
    <w:p>
      <w:pPr>
        <w:pStyle w:val="ListParagraph"/>
        <w:numPr>
          <w:ilvl w:val="0"/>
          <w:numId w:val="6"/>
        </w:numPr>
        <w:tabs>
          <w:tab w:pos="527" w:val="left" w:leader="none"/>
        </w:tabs>
        <w:spacing w:line="364" w:lineRule="auto" w:before="105" w:after="0"/>
        <w:ind w:left="220" w:right="738" w:firstLine="0"/>
        <w:jc w:val="left"/>
        <w:rPr>
          <w:sz w:val="24"/>
        </w:rPr>
      </w:pPr>
      <w:r>
        <w:rPr>
          <w:spacing w:val="-2"/>
          <w:sz w:val="24"/>
        </w:rPr>
        <w:t>应付债券是指企业为筹集资金而对外发行的期限在 </w:t>
      </w:r>
      <w:r>
        <w:rPr>
          <w:rFonts w:ascii="Calibri" w:hAnsi="Calibri" w:eastAsia="Calibri"/>
          <w:sz w:val="24"/>
        </w:rPr>
        <w:t>3</w:t>
      </w:r>
      <w:r>
        <w:rPr>
          <w:rFonts w:ascii="Calibri" w:hAnsi="Calibri" w:eastAsia="Calibri"/>
          <w:spacing w:val="34"/>
          <w:sz w:val="24"/>
        </w:rPr>
        <w:t> </w:t>
      </w:r>
      <w:r>
        <w:rPr>
          <w:sz w:val="24"/>
        </w:rPr>
        <w:t>个月以上的借入资金性</w:t>
      </w:r>
      <w:r>
        <w:rPr>
          <w:spacing w:val="-6"/>
          <w:sz w:val="24"/>
        </w:rPr>
        <w:t>质的、约定在一定期限内还本付息的一种书面承诺。</w:t>
      </w:r>
      <w:r>
        <w:rPr>
          <w:sz w:val="24"/>
        </w:rPr>
        <w:t>（×）</w:t>
      </w:r>
    </w:p>
    <w:p>
      <w:pPr>
        <w:pStyle w:val="ListParagraph"/>
        <w:numPr>
          <w:ilvl w:val="0"/>
          <w:numId w:val="6"/>
        </w:numPr>
        <w:tabs>
          <w:tab w:pos="527" w:val="left" w:leader="none"/>
        </w:tabs>
        <w:spacing w:line="240" w:lineRule="auto" w:before="2" w:after="0"/>
        <w:ind w:left="526" w:right="0" w:hanging="307"/>
        <w:jc w:val="left"/>
        <w:rPr>
          <w:sz w:val="24"/>
        </w:rPr>
      </w:pPr>
      <w:r>
        <w:rPr>
          <w:sz w:val="24"/>
        </w:rPr>
        <w:t>企业的其他综合收益，是指企业根据企业会计准则规定未在损益中确认的各</w:t>
      </w:r>
    </w:p>
    <w:p>
      <w:pPr>
        <w:spacing w:after="0" w:line="240" w:lineRule="auto"/>
        <w:jc w:val="left"/>
        <w:rPr>
          <w:sz w:val="24"/>
        </w:rPr>
        <w:sectPr>
          <w:pgSz w:w="11910" w:h="16840"/>
          <w:pgMar w:top="1460" w:bottom="280" w:left="1580" w:right="1060"/>
        </w:sectPr>
      </w:pPr>
    </w:p>
    <w:p>
      <w:pPr>
        <w:pStyle w:val="BodyText"/>
        <w:spacing w:before="44"/>
      </w:pPr>
      <w:r>
        <w:rPr>
          <w:spacing w:val="-7"/>
        </w:rPr>
        <w:t>项利得和损失扣除所得税影响后的净额。</w:t>
      </w:r>
      <w:r>
        <w:rPr/>
        <w:t>（√）</w:t>
      </w:r>
    </w:p>
    <w:p>
      <w:pPr>
        <w:pStyle w:val="ListParagraph"/>
        <w:numPr>
          <w:ilvl w:val="0"/>
          <w:numId w:val="6"/>
        </w:numPr>
        <w:tabs>
          <w:tab w:pos="527" w:val="left" w:leader="none"/>
        </w:tabs>
        <w:spacing w:line="364" w:lineRule="auto" w:before="160" w:after="0"/>
        <w:ind w:left="220" w:right="738" w:firstLine="0"/>
        <w:jc w:val="left"/>
        <w:rPr>
          <w:sz w:val="24"/>
        </w:rPr>
      </w:pPr>
      <w:r>
        <w:rPr>
          <w:sz w:val="24"/>
        </w:rPr>
        <w:t>股东权益和债权人权益各自承担的风险不同。从财产求偿权来看，债权人权</w:t>
      </w:r>
      <w:r>
        <w:rPr>
          <w:spacing w:val="-14"/>
          <w:sz w:val="24"/>
        </w:rPr>
        <w:t>益优先于股东权益。</w:t>
      </w:r>
      <w:r>
        <w:rPr>
          <w:sz w:val="24"/>
        </w:rPr>
        <w:t>（√）</w:t>
      </w:r>
    </w:p>
    <w:p>
      <w:pPr>
        <w:pStyle w:val="ListParagraph"/>
        <w:numPr>
          <w:ilvl w:val="0"/>
          <w:numId w:val="6"/>
        </w:numPr>
        <w:tabs>
          <w:tab w:pos="525" w:val="left" w:leader="none"/>
        </w:tabs>
        <w:spacing w:line="240" w:lineRule="auto" w:before="2" w:after="0"/>
        <w:ind w:left="524" w:right="0" w:hanging="305"/>
        <w:jc w:val="left"/>
        <w:rPr>
          <w:sz w:val="24"/>
        </w:rPr>
      </w:pPr>
      <w:r>
        <w:rPr>
          <w:spacing w:val="-4"/>
          <w:sz w:val="24"/>
        </w:rPr>
        <w:t>按照我国会计准则的要求，公允价值计量只运用在交易性金融资产上。</w:t>
      </w:r>
      <w:r>
        <w:rPr>
          <w:sz w:val="24"/>
        </w:rPr>
        <w:t>（×）</w:t>
      </w:r>
    </w:p>
    <w:p>
      <w:pPr>
        <w:pStyle w:val="ListParagraph"/>
        <w:numPr>
          <w:ilvl w:val="0"/>
          <w:numId w:val="6"/>
        </w:numPr>
        <w:tabs>
          <w:tab w:pos="525" w:val="left" w:leader="none"/>
        </w:tabs>
        <w:spacing w:line="300" w:lineRule="auto" w:before="160" w:after="0"/>
        <w:ind w:left="220" w:right="4540" w:firstLine="0"/>
        <w:jc w:val="left"/>
        <w:rPr>
          <w:sz w:val="24"/>
        </w:rPr>
      </w:pPr>
      <w:r>
        <w:rPr>
          <w:spacing w:val="-9"/>
          <w:sz w:val="24"/>
        </w:rPr>
        <w:t>债务重组损失不属于营业外支出。</w:t>
      </w:r>
      <w:r>
        <w:rPr>
          <w:sz w:val="24"/>
        </w:rPr>
        <w:t>（×）</w:t>
      </w:r>
      <w:r>
        <w:rPr>
          <w:spacing w:val="-117"/>
          <w:sz w:val="24"/>
        </w:rPr>
        <w:t> </w:t>
      </w:r>
      <w:r>
        <w:rPr>
          <w:rFonts w:ascii="Microsoft JhengHei" w:hAnsi="Microsoft JhengHei" w:eastAsia="Microsoft JhengHei" w:hint="eastAsia"/>
          <w:b/>
          <w:sz w:val="24"/>
        </w:rPr>
        <w:t>四、业务处理题（每题 </w:t>
      </w:r>
      <w:r>
        <w:rPr>
          <w:rFonts w:ascii="Calibri" w:hAnsi="Calibri" w:eastAsia="Calibri"/>
          <w:b/>
          <w:sz w:val="24"/>
        </w:rPr>
        <w:t>20</w:t>
      </w:r>
      <w:r>
        <w:rPr>
          <w:rFonts w:ascii="Calibri" w:hAnsi="Calibri" w:eastAsia="Calibri"/>
          <w:b/>
          <w:spacing w:val="5"/>
          <w:sz w:val="24"/>
        </w:rPr>
        <w:t> </w:t>
      </w:r>
      <w:r>
        <w:rPr>
          <w:rFonts w:ascii="Microsoft JhengHei" w:hAnsi="Microsoft JhengHei" w:eastAsia="Microsoft JhengHei" w:hint="eastAsia"/>
          <w:b/>
          <w:sz w:val="24"/>
        </w:rPr>
        <w:t>分，共 </w:t>
      </w:r>
      <w:r>
        <w:rPr>
          <w:rFonts w:ascii="Calibri" w:hAnsi="Calibri" w:eastAsia="Calibri"/>
          <w:b/>
          <w:sz w:val="24"/>
        </w:rPr>
        <w:t>40</w:t>
      </w:r>
      <w:r>
        <w:rPr>
          <w:rFonts w:ascii="Calibri" w:hAnsi="Calibri" w:eastAsia="Calibri"/>
          <w:b/>
          <w:spacing w:val="5"/>
          <w:sz w:val="24"/>
        </w:rPr>
        <w:t> </w:t>
      </w:r>
      <w:r>
        <w:rPr>
          <w:rFonts w:ascii="Microsoft JhengHei" w:hAnsi="Microsoft JhengHei" w:eastAsia="Microsoft JhengHei" w:hint="eastAsia"/>
          <w:b/>
          <w:sz w:val="24"/>
        </w:rPr>
        <w:t>分）</w:t>
      </w:r>
      <w:r>
        <w:rPr>
          <w:rFonts w:ascii="Microsoft JhengHei" w:hAnsi="Microsoft JhengHei" w:eastAsia="Microsoft JhengHei" w:hint="eastAsia"/>
          <w:b/>
          <w:spacing w:val="1"/>
          <w:sz w:val="24"/>
        </w:rPr>
        <w:t> </w:t>
      </w:r>
      <w:r>
        <w:rPr>
          <w:rFonts w:ascii="Calibri" w:hAnsi="Calibri" w:eastAsia="Calibri"/>
          <w:sz w:val="24"/>
        </w:rPr>
        <w:t>16.</w:t>
      </w:r>
      <w:r>
        <w:rPr>
          <w:sz w:val="24"/>
        </w:rPr>
        <w:t>业务题一：</w:t>
      </w:r>
    </w:p>
    <w:p>
      <w:pPr>
        <w:pStyle w:val="BodyText"/>
        <w:spacing w:line="364" w:lineRule="auto" w:before="84"/>
        <w:ind w:right="739" w:firstLine="480"/>
      </w:pPr>
      <w:r>
        <w:rPr>
          <w:spacing w:val="-17"/>
        </w:rPr>
        <w:t>某企业 </w:t>
      </w:r>
      <w:r>
        <w:rPr>
          <w:rFonts w:ascii="Calibri" w:eastAsia="Calibri"/>
          <w:spacing w:val="-2"/>
        </w:rPr>
        <w:t>1</w:t>
      </w:r>
      <w:r>
        <w:rPr>
          <w:rFonts w:ascii="Calibri" w:eastAsia="Calibri"/>
          <w:spacing w:val="5"/>
        </w:rPr>
        <w:t> </w:t>
      </w:r>
      <w:r>
        <w:rPr>
          <w:spacing w:val="-8"/>
        </w:rPr>
        <w:t>月初从银行借入为期 </w:t>
      </w:r>
      <w:r>
        <w:rPr>
          <w:rFonts w:ascii="Calibri" w:eastAsia="Calibri"/>
          <w:spacing w:val="-2"/>
        </w:rPr>
        <w:t>3</w:t>
      </w:r>
      <w:r>
        <w:rPr>
          <w:rFonts w:ascii="Calibri" w:eastAsia="Calibri"/>
          <w:spacing w:val="5"/>
        </w:rPr>
        <w:t> </w:t>
      </w:r>
      <w:r>
        <w:rPr>
          <w:spacing w:val="-12"/>
        </w:rPr>
        <w:t>个月的借款 </w:t>
      </w:r>
      <w:r>
        <w:rPr>
          <w:rFonts w:ascii="Calibri" w:eastAsia="Calibri"/>
          <w:spacing w:val="-2"/>
        </w:rPr>
        <w:t>200</w:t>
      </w:r>
      <w:r>
        <w:rPr>
          <w:rFonts w:ascii="Calibri" w:eastAsia="Calibri"/>
          <w:spacing w:val="5"/>
        </w:rPr>
        <w:t> </w:t>
      </w:r>
      <w:r>
        <w:rPr>
          <w:spacing w:val="-11"/>
        </w:rPr>
        <w:t>万元，年利率 </w:t>
      </w:r>
      <w:r>
        <w:rPr>
          <w:rFonts w:ascii="Calibri" w:eastAsia="Calibri"/>
          <w:spacing w:val="-1"/>
        </w:rPr>
        <w:t>3</w:t>
      </w:r>
      <w:r>
        <w:rPr>
          <w:spacing w:val="-1"/>
        </w:rPr>
        <w:t>％，借款到</w:t>
      </w:r>
      <w:r>
        <w:rPr/>
        <w:t>期时一次性还本付息。要求：做出该笔业务的全部会计分录。</w:t>
      </w:r>
    </w:p>
    <w:p>
      <w:pPr>
        <w:spacing w:line="363" w:lineRule="exact" w:before="0"/>
        <w:ind w:left="220" w:right="0" w:firstLine="0"/>
        <w:jc w:val="left"/>
        <w:rPr>
          <w:rFonts w:ascii="Microsoft JhengHei" w:eastAsia="Microsoft JhengHei" w:hint="eastAsia"/>
          <w:b/>
          <w:sz w:val="24"/>
        </w:rPr>
      </w:pPr>
      <w:r>
        <w:rPr>
          <w:rFonts w:ascii="Microsoft JhengHei" w:eastAsia="Microsoft JhengHei" w:hint="eastAsia"/>
          <w:b/>
          <w:color w:val="FF0000"/>
          <w:sz w:val="24"/>
        </w:rPr>
        <w:t>参考答案：</w:t>
      </w:r>
    </w:p>
    <w:p>
      <w:pPr>
        <w:pStyle w:val="BodyText"/>
        <w:tabs>
          <w:tab w:pos="2379" w:val="left" w:leader="none"/>
        </w:tabs>
        <w:spacing w:line="364" w:lineRule="auto" w:before="106"/>
        <w:ind w:left="700" w:right="5082"/>
        <w:rPr>
          <w:rFonts w:ascii="Calibri" w:eastAsia="Calibri"/>
        </w:rPr>
      </w:pPr>
      <w:r>
        <w:rPr>
          <w:spacing w:val="-1"/>
        </w:rPr>
        <w:t>（</w:t>
      </w:r>
      <w:r>
        <w:rPr>
          <w:rFonts w:ascii="Calibri" w:eastAsia="Calibri"/>
          <w:spacing w:val="-1"/>
        </w:rPr>
        <w:t>1</w:t>
      </w:r>
      <w:r>
        <w:rPr>
          <w:spacing w:val="-1"/>
        </w:rPr>
        <w:t>）</w:t>
      </w:r>
      <w:r>
        <w:rPr/>
        <w:t>取得短期借款时会计分录：</w:t>
      </w:r>
      <w:r>
        <w:rPr>
          <w:spacing w:val="-117"/>
        </w:rPr>
        <w:t> </w:t>
      </w:r>
      <w:r>
        <w:rPr/>
        <w:t>借：银行存款</w:t>
        <w:tab/>
      </w:r>
      <w:r>
        <w:rPr>
          <w:rFonts w:ascii="Calibri" w:eastAsia="Calibri"/>
        </w:rPr>
        <w:t>2000000</w:t>
      </w:r>
    </w:p>
    <w:p>
      <w:pPr>
        <w:pStyle w:val="BodyText"/>
        <w:tabs>
          <w:tab w:pos="2859" w:val="left" w:leader="none"/>
        </w:tabs>
        <w:spacing w:before="1"/>
        <w:ind w:left="1180"/>
        <w:rPr>
          <w:rFonts w:ascii="Calibri" w:eastAsia="Calibri"/>
        </w:rPr>
      </w:pPr>
      <w:r>
        <w:rPr/>
        <w:t>贷：短期借款</w:t>
        <w:tab/>
      </w:r>
      <w:r>
        <w:rPr>
          <w:rFonts w:ascii="Calibri" w:eastAsia="Calibri"/>
        </w:rPr>
        <w:t>2000000</w:t>
      </w:r>
    </w:p>
    <w:p>
      <w:pPr>
        <w:pStyle w:val="BodyText"/>
        <w:spacing w:line="364" w:lineRule="auto" w:before="160"/>
        <w:ind w:left="700" w:right="625"/>
        <w:rPr>
          <w:rFonts w:ascii="Calibri" w:eastAsia="Calibri"/>
        </w:rPr>
      </w:pPr>
      <w:r>
        <w:rPr/>
        <w:t>（</w:t>
      </w:r>
      <w:r>
        <w:rPr>
          <w:rFonts w:ascii="Calibri" w:eastAsia="Calibri"/>
        </w:rPr>
        <w:t>2</w:t>
      </w:r>
      <w:r>
        <w:rPr/>
        <w:t>）</w:t>
      </w:r>
      <w:r>
        <w:rPr>
          <w:rFonts w:ascii="Calibri" w:eastAsia="Calibri"/>
        </w:rPr>
        <w:t>1-3</w:t>
      </w:r>
      <w:r>
        <w:rPr>
          <w:rFonts w:ascii="Calibri" w:eastAsia="Calibri"/>
          <w:spacing w:val="-7"/>
        </w:rPr>
        <w:t> </w:t>
      </w:r>
      <w:r>
        <w:rPr/>
        <w:t>月每月月末按照预定的利息率计算并记录短期借款利息会计分录：</w:t>
      </w:r>
      <w:r>
        <w:rPr>
          <w:spacing w:val="-117"/>
        </w:rPr>
        <w:t> </w:t>
      </w:r>
      <w:r>
        <w:rPr/>
        <w:t>借：财务费用 </w:t>
      </w:r>
      <w:r>
        <w:rPr>
          <w:rFonts w:ascii="Calibri" w:eastAsia="Calibri"/>
        </w:rPr>
        <w:t>5000</w:t>
      </w:r>
    </w:p>
    <w:p>
      <w:pPr>
        <w:pStyle w:val="BodyText"/>
        <w:spacing w:before="1"/>
        <w:ind w:left="1180"/>
        <w:rPr>
          <w:rFonts w:ascii="Calibri" w:eastAsia="Calibri"/>
        </w:rPr>
      </w:pPr>
      <w:r>
        <w:rPr/>
        <w:t>贷：应付利息 </w:t>
      </w:r>
      <w:r>
        <w:rPr>
          <w:rFonts w:ascii="Calibri" w:eastAsia="Calibri"/>
        </w:rPr>
        <w:t>5000</w:t>
      </w:r>
    </w:p>
    <w:p>
      <w:pPr>
        <w:pStyle w:val="BodyText"/>
        <w:spacing w:line="364" w:lineRule="auto"/>
        <w:ind w:left="700" w:right="4180"/>
        <w:rPr>
          <w:rFonts w:ascii="Calibri" w:eastAsia="Calibri"/>
        </w:rPr>
      </w:pPr>
      <w:r>
        <w:rPr/>
        <w:t>（</w:t>
      </w:r>
      <w:r>
        <w:rPr>
          <w:rFonts w:ascii="Calibri" w:eastAsia="Calibri"/>
        </w:rPr>
        <w:t>3</w:t>
      </w:r>
      <w:r>
        <w:rPr/>
        <w:t>）</w:t>
      </w:r>
      <w:r>
        <w:rPr>
          <w:rFonts w:ascii="Calibri" w:eastAsia="Calibri"/>
        </w:rPr>
        <w:t>3</w:t>
      </w:r>
      <w:r>
        <w:rPr>
          <w:rFonts w:ascii="Calibri" w:eastAsia="Calibri"/>
          <w:spacing w:val="-7"/>
        </w:rPr>
        <w:t> </w:t>
      </w:r>
      <w:r>
        <w:rPr/>
        <w:t>月末归还短期借款本息会计分录：</w:t>
      </w:r>
      <w:r>
        <w:rPr>
          <w:spacing w:val="-117"/>
        </w:rPr>
        <w:t> </w:t>
      </w:r>
      <w:r>
        <w:rPr>
          <w:spacing w:val="-1"/>
        </w:rPr>
        <w:t>借：短期借款 </w:t>
      </w:r>
      <w:r>
        <w:rPr>
          <w:rFonts w:ascii="Calibri" w:eastAsia="Calibri"/>
        </w:rPr>
        <w:t>2000000</w:t>
      </w:r>
    </w:p>
    <w:p>
      <w:pPr>
        <w:pStyle w:val="BodyText"/>
        <w:spacing w:before="1"/>
        <w:ind w:left="1180"/>
        <w:rPr>
          <w:rFonts w:ascii="Calibri" w:eastAsia="Calibri"/>
        </w:rPr>
      </w:pPr>
      <w:r>
        <w:rPr>
          <w:spacing w:val="-1"/>
        </w:rPr>
        <w:t>应付利息 </w:t>
      </w:r>
      <w:r>
        <w:rPr>
          <w:rFonts w:ascii="Calibri" w:eastAsia="Calibri"/>
        </w:rPr>
        <w:t>15000</w:t>
      </w:r>
    </w:p>
    <w:p>
      <w:pPr>
        <w:pStyle w:val="BodyText"/>
        <w:spacing w:line="364" w:lineRule="auto"/>
        <w:ind w:left="700" w:right="5672" w:firstLine="480"/>
        <w:jc w:val="both"/>
      </w:pPr>
      <w:r>
        <w:rPr/>
        <w:t>贷：银行存款 </w:t>
      </w:r>
      <w:r>
        <w:rPr>
          <w:rFonts w:ascii="Calibri" w:eastAsia="Calibri"/>
        </w:rPr>
        <w:t>2015000</w:t>
      </w:r>
      <w:r>
        <w:rPr>
          <w:rFonts w:ascii="Calibri" w:eastAsia="Calibri"/>
          <w:spacing w:val="-52"/>
        </w:rPr>
        <w:t> </w:t>
      </w:r>
      <w:r>
        <w:rPr>
          <w:rFonts w:ascii="Calibri" w:eastAsia="Calibri"/>
        </w:rPr>
        <w:t>17.</w:t>
      </w:r>
      <w:r>
        <w:rPr/>
        <w:t>业务题二：</w:t>
      </w:r>
    </w:p>
    <w:p>
      <w:pPr>
        <w:pStyle w:val="BodyText"/>
        <w:spacing w:line="364" w:lineRule="auto" w:before="1"/>
        <w:ind w:right="737" w:firstLine="480"/>
        <w:jc w:val="both"/>
        <w:rPr>
          <w:rFonts w:ascii="Calibri" w:eastAsia="Calibri"/>
        </w:rPr>
      </w:pPr>
      <w:r>
        <w:rPr>
          <w:rFonts w:ascii="Calibri" w:eastAsia="Calibri"/>
          <w:spacing w:val="-3"/>
        </w:rPr>
        <w:t>A</w:t>
      </w:r>
      <w:r>
        <w:rPr>
          <w:rFonts w:ascii="Calibri" w:eastAsia="Calibri"/>
          <w:spacing w:val="5"/>
        </w:rPr>
        <w:t> </w:t>
      </w:r>
      <w:r>
        <w:rPr>
          <w:spacing w:val="-6"/>
        </w:rPr>
        <w:t>公司在上市后的第一年，实现税后净利润 </w:t>
      </w:r>
      <w:r>
        <w:rPr>
          <w:rFonts w:ascii="Calibri" w:eastAsia="Calibri"/>
          <w:spacing w:val="-2"/>
        </w:rPr>
        <w:t>500</w:t>
      </w:r>
      <w:r>
        <w:rPr>
          <w:rFonts w:ascii="Calibri" w:eastAsia="Calibri"/>
          <w:spacing w:val="5"/>
        </w:rPr>
        <w:t> </w:t>
      </w:r>
      <w:r>
        <w:rPr>
          <w:spacing w:val="-2"/>
        </w:rPr>
        <w:t>万元。公司董事会、股东大</w:t>
      </w:r>
      <w:r>
        <w:rPr>
          <w:spacing w:val="-11"/>
        </w:rPr>
        <w:t>会决定，除计提 </w:t>
      </w:r>
      <w:r>
        <w:rPr>
          <w:rFonts w:ascii="Calibri" w:eastAsia="Calibri"/>
          <w:spacing w:val="-3"/>
        </w:rPr>
        <w:t>10%</w:t>
      </w:r>
      <w:r>
        <w:rPr>
          <w:spacing w:val="-8"/>
        </w:rPr>
        <w:t>的法定盈余公积金外，再计提 </w:t>
      </w:r>
      <w:r>
        <w:rPr>
          <w:rFonts w:ascii="Calibri" w:eastAsia="Calibri"/>
          <w:spacing w:val="-3"/>
        </w:rPr>
        <w:t>10%</w:t>
      </w:r>
      <w:r>
        <w:rPr>
          <w:spacing w:val="-3"/>
        </w:rPr>
        <w:t>的任意盈余公积金，然后</w:t>
      </w:r>
      <w:r>
        <w:rPr>
          <w:spacing w:val="-8"/>
        </w:rPr>
        <w:t>按照税后利润额的 </w:t>
      </w:r>
      <w:r>
        <w:rPr>
          <w:rFonts w:ascii="Calibri" w:eastAsia="Calibri"/>
          <w:spacing w:val="-1"/>
        </w:rPr>
        <w:t>60%</w:t>
      </w:r>
      <w:r>
        <w:rPr>
          <w:spacing w:val="-13"/>
        </w:rPr>
        <w:t>向各股东分配现金股利。要求：做出上述 </w:t>
      </w:r>
      <w:r>
        <w:rPr>
          <w:rFonts w:ascii="Calibri" w:eastAsia="Calibri"/>
        </w:rPr>
        <w:t>A</w:t>
      </w:r>
      <w:r>
        <w:rPr>
          <w:rFonts w:ascii="Calibri" w:eastAsia="Calibri"/>
          <w:spacing w:val="5"/>
        </w:rPr>
        <w:t> </w:t>
      </w:r>
      <w:r>
        <w:rPr/>
        <w:t>公司盈余分配工作的会计分录</w:t>
      </w:r>
      <w:r>
        <w:rPr>
          <w:rFonts w:ascii="Calibri" w:eastAsia="Calibri"/>
        </w:rPr>
        <w:t>.</w:t>
      </w:r>
    </w:p>
    <w:p>
      <w:pPr>
        <w:spacing w:line="365" w:lineRule="exact" w:before="0"/>
        <w:ind w:left="220" w:right="0" w:firstLine="0"/>
        <w:jc w:val="left"/>
        <w:rPr>
          <w:rFonts w:ascii="Microsoft JhengHei" w:eastAsia="Microsoft JhengHei" w:hint="eastAsia"/>
          <w:b/>
          <w:sz w:val="24"/>
        </w:rPr>
      </w:pPr>
      <w:r>
        <w:rPr>
          <w:rFonts w:ascii="Microsoft JhengHei" w:eastAsia="Microsoft JhengHei" w:hint="eastAsia"/>
          <w:b/>
          <w:color w:val="FF0000"/>
          <w:sz w:val="24"/>
        </w:rPr>
        <w:t>参考答案：</w:t>
      </w:r>
    </w:p>
    <w:p>
      <w:pPr>
        <w:pStyle w:val="ListParagraph"/>
        <w:numPr>
          <w:ilvl w:val="0"/>
          <w:numId w:val="7"/>
        </w:numPr>
        <w:tabs>
          <w:tab w:pos="1303" w:val="left" w:leader="none"/>
        </w:tabs>
        <w:spacing w:line="364" w:lineRule="auto" w:before="106" w:after="0"/>
        <w:ind w:left="700" w:right="3162" w:firstLine="0"/>
        <w:jc w:val="left"/>
        <w:rPr>
          <w:rFonts w:ascii="Calibri" w:eastAsia="Calibri"/>
          <w:sz w:val="24"/>
        </w:rPr>
      </w:pPr>
      <w:r>
        <w:rPr>
          <w:spacing w:val="-1"/>
          <w:sz w:val="24"/>
        </w:rPr>
        <w:t>计提法定盈余公积、任意盈余公积会计分录：</w:t>
      </w:r>
      <w:r>
        <w:rPr>
          <w:spacing w:val="-117"/>
          <w:sz w:val="24"/>
        </w:rPr>
        <w:t> </w:t>
      </w:r>
      <w:r>
        <w:rPr>
          <w:sz w:val="24"/>
        </w:rPr>
        <w:t>借：利润分配</w:t>
      </w:r>
      <w:r>
        <w:rPr>
          <w:rFonts w:ascii="Calibri" w:eastAsia="Calibri"/>
          <w:sz w:val="24"/>
        </w:rPr>
        <w:t>-</w:t>
      </w:r>
      <w:r>
        <w:rPr>
          <w:spacing w:val="-1"/>
          <w:sz w:val="24"/>
        </w:rPr>
        <w:t>计提盈余公积 </w:t>
      </w:r>
      <w:r>
        <w:rPr>
          <w:rFonts w:ascii="Calibri" w:eastAsia="Calibri"/>
          <w:sz w:val="24"/>
        </w:rPr>
        <w:t>1000000</w:t>
      </w:r>
    </w:p>
    <w:p>
      <w:pPr>
        <w:pStyle w:val="BodyText"/>
        <w:spacing w:before="1"/>
        <w:ind w:left="1180"/>
        <w:rPr>
          <w:rFonts w:ascii="Calibri" w:eastAsia="Calibri"/>
        </w:rPr>
      </w:pPr>
      <w:r>
        <w:rPr/>
        <w:t>贷：盈余公积</w:t>
      </w:r>
      <w:r>
        <w:rPr>
          <w:rFonts w:ascii="Calibri" w:eastAsia="Calibri"/>
        </w:rPr>
        <w:t>-</w:t>
      </w:r>
      <w:r>
        <w:rPr>
          <w:spacing w:val="-1"/>
        </w:rPr>
        <w:t>法定盈余公积 </w:t>
      </w:r>
      <w:r>
        <w:rPr>
          <w:rFonts w:ascii="Calibri" w:eastAsia="Calibri"/>
        </w:rPr>
        <w:t>500000</w:t>
      </w:r>
    </w:p>
    <w:p>
      <w:pPr>
        <w:spacing w:after="0"/>
        <w:rPr>
          <w:rFonts w:ascii="Calibri" w:eastAsia="Calibri"/>
        </w:rPr>
        <w:sectPr>
          <w:pgSz w:w="11910" w:h="16840"/>
          <w:pgMar w:top="1460" w:bottom="280" w:left="1580" w:right="1060"/>
        </w:sectPr>
      </w:pPr>
    </w:p>
    <w:p>
      <w:pPr>
        <w:pStyle w:val="BodyText"/>
        <w:tabs>
          <w:tab w:pos="3339" w:val="left" w:leader="none"/>
        </w:tabs>
        <w:spacing w:before="44"/>
        <w:ind w:left="1660"/>
        <w:rPr>
          <w:rFonts w:ascii="Calibri" w:eastAsia="Calibri"/>
        </w:rPr>
      </w:pPr>
      <w:r>
        <w:rPr/>
        <w:t>任意盈余公积</w:t>
        <w:tab/>
      </w:r>
      <w:r>
        <w:rPr>
          <w:rFonts w:ascii="Calibri" w:eastAsia="Calibri"/>
        </w:rPr>
        <w:t>500000</w:t>
      </w:r>
    </w:p>
    <w:p>
      <w:pPr>
        <w:pStyle w:val="ListParagraph"/>
        <w:numPr>
          <w:ilvl w:val="0"/>
          <w:numId w:val="7"/>
        </w:numPr>
        <w:tabs>
          <w:tab w:pos="1303" w:val="left" w:leader="none"/>
        </w:tabs>
        <w:spacing w:line="364" w:lineRule="auto" w:before="160" w:after="0"/>
        <w:ind w:left="700" w:right="4640" w:firstLine="0"/>
        <w:jc w:val="left"/>
        <w:rPr>
          <w:rFonts w:ascii="Calibri" w:eastAsia="Calibri"/>
          <w:sz w:val="24"/>
        </w:rPr>
      </w:pPr>
      <w:r>
        <w:rPr>
          <w:sz w:val="24"/>
        </w:rPr>
        <w:t>对外分派现金股利会计分录：</w:t>
      </w:r>
      <w:r>
        <w:rPr>
          <w:spacing w:val="1"/>
          <w:sz w:val="24"/>
        </w:rPr>
        <w:t> </w:t>
      </w:r>
      <w:r>
        <w:rPr>
          <w:sz w:val="24"/>
        </w:rPr>
        <w:t>借：利润分配</w:t>
      </w:r>
      <w:r>
        <w:rPr>
          <w:rFonts w:ascii="Calibri" w:eastAsia="Calibri"/>
          <w:sz w:val="24"/>
        </w:rPr>
        <w:t>-</w:t>
      </w:r>
      <w:r>
        <w:rPr>
          <w:spacing w:val="-3"/>
          <w:sz w:val="24"/>
        </w:rPr>
        <w:t>分派现金股利 </w:t>
      </w:r>
      <w:r>
        <w:rPr>
          <w:rFonts w:ascii="Calibri" w:eastAsia="Calibri"/>
          <w:sz w:val="24"/>
        </w:rPr>
        <w:t>3000000</w:t>
      </w:r>
    </w:p>
    <w:p>
      <w:pPr>
        <w:pStyle w:val="BodyText"/>
        <w:spacing w:before="2"/>
        <w:ind w:left="1180"/>
        <w:rPr>
          <w:rFonts w:ascii="Calibri" w:eastAsia="Calibri"/>
        </w:rPr>
      </w:pPr>
      <w:r>
        <w:rPr/>
        <w:t>贷：应付股利</w:t>
      </w:r>
      <w:r>
        <w:rPr>
          <w:rFonts w:ascii="Calibri" w:eastAsia="Calibri"/>
        </w:rPr>
        <w:t>-</w:t>
      </w:r>
      <w:r>
        <w:rPr>
          <w:spacing w:val="-1"/>
        </w:rPr>
        <w:t>现金股利 </w:t>
      </w:r>
      <w:r>
        <w:rPr>
          <w:rFonts w:ascii="Calibri" w:eastAsia="Calibri"/>
        </w:rPr>
        <w:t>3000000</w:t>
      </w:r>
    </w:p>
    <w:p>
      <w:pPr>
        <w:pStyle w:val="BodyText"/>
        <w:spacing w:before="0"/>
        <w:ind w:left="0"/>
        <w:rPr>
          <w:rFonts w:ascii="Calibri"/>
          <w:sz w:val="26"/>
        </w:rPr>
      </w:pPr>
    </w:p>
    <w:p>
      <w:pPr>
        <w:pStyle w:val="BodyText"/>
        <w:spacing w:before="0"/>
        <w:ind w:left="0"/>
        <w:rPr>
          <w:rFonts w:ascii="Calibri"/>
          <w:sz w:val="26"/>
        </w:rPr>
      </w:pPr>
    </w:p>
    <w:p>
      <w:pPr>
        <w:pStyle w:val="BodyText"/>
        <w:spacing w:before="3"/>
        <w:ind w:left="0"/>
        <w:rPr>
          <w:rFonts w:ascii="Calibri"/>
          <w:sz w:val="31"/>
        </w:rPr>
      </w:pPr>
    </w:p>
    <w:p>
      <w:pPr>
        <w:spacing w:before="1"/>
        <w:ind w:left="914" w:right="1433" w:firstLine="0"/>
        <w:jc w:val="center"/>
        <w:rPr>
          <w:rFonts w:ascii="Calibri" w:eastAsia="Calibri"/>
          <w:b/>
          <w:sz w:val="24"/>
        </w:rPr>
      </w:pPr>
      <w:r>
        <w:rPr>
          <w:rFonts w:ascii="Microsoft JhengHei" w:eastAsia="Microsoft JhengHei" w:hint="eastAsia"/>
          <w:b/>
          <w:sz w:val="24"/>
        </w:rPr>
        <w:t>形考任务 </w:t>
      </w:r>
      <w:r>
        <w:rPr>
          <w:rFonts w:ascii="Calibri" w:eastAsia="Calibri"/>
          <w:b/>
          <w:sz w:val="24"/>
        </w:rPr>
        <w:t>4</w:t>
      </w:r>
    </w:p>
    <w:p>
      <w:pPr>
        <w:spacing w:before="26"/>
        <w:ind w:left="220" w:right="0" w:firstLine="0"/>
        <w:jc w:val="left"/>
        <w:rPr>
          <w:rFonts w:ascii="Microsoft JhengHei" w:eastAsia="Microsoft JhengHei" w:hint="eastAsia"/>
          <w:b/>
          <w:sz w:val="24"/>
        </w:rPr>
      </w:pPr>
      <w:r>
        <w:rPr>
          <w:rFonts w:ascii="Microsoft JhengHei" w:eastAsia="Microsoft JhengHei" w:hint="eastAsia"/>
          <w:b/>
          <w:sz w:val="24"/>
        </w:rPr>
        <w:t>一、单项选择题（每题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分，合计 </w:t>
      </w:r>
      <w:r>
        <w:rPr>
          <w:rFonts w:ascii="Calibri" w:eastAsia="Calibri"/>
          <w:b/>
          <w:sz w:val="24"/>
        </w:rPr>
        <w:t>30</w:t>
      </w:r>
      <w:r>
        <w:rPr>
          <w:rFonts w:ascii="Calibri" w:eastAsia="Calibri"/>
          <w:b/>
          <w:spacing w:val="6"/>
          <w:sz w:val="24"/>
        </w:rPr>
        <w:t> </w:t>
      </w:r>
      <w:r>
        <w:rPr>
          <w:rFonts w:ascii="Microsoft JhengHei" w:eastAsia="Microsoft JhengHei" w:hint="eastAsia"/>
          <w:b/>
          <w:sz w:val="24"/>
        </w:rPr>
        <w:t>分）</w:t>
      </w:r>
    </w:p>
    <w:p>
      <w:pPr>
        <w:pStyle w:val="ListParagraph"/>
        <w:numPr>
          <w:ilvl w:val="0"/>
          <w:numId w:val="8"/>
        </w:numPr>
        <w:tabs>
          <w:tab w:pos="404" w:val="left" w:leader="none"/>
        </w:tabs>
        <w:spacing w:line="240" w:lineRule="auto" w:before="106" w:after="0"/>
        <w:ind w:left="403" w:right="0" w:hanging="184"/>
        <w:jc w:val="left"/>
        <w:rPr>
          <w:sz w:val="24"/>
        </w:rPr>
      </w:pPr>
      <w:r>
        <w:rPr>
          <w:sz w:val="24"/>
        </w:rPr>
        <w:t>现金流量表，是指反映企业在一定会计期间（）流入和流出的报表。</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现金和现金等价物</w:t>
      </w:r>
    </w:p>
    <w:p>
      <w:pPr>
        <w:pStyle w:val="ListParagraph"/>
        <w:numPr>
          <w:ilvl w:val="1"/>
          <w:numId w:val="8"/>
        </w:numPr>
        <w:tabs>
          <w:tab w:pos="1012" w:val="left" w:leader="none"/>
        </w:tabs>
        <w:spacing w:line="240" w:lineRule="auto" w:before="106" w:after="0"/>
        <w:ind w:left="1011" w:right="0" w:hanging="312"/>
        <w:jc w:val="left"/>
        <w:rPr>
          <w:rFonts w:ascii="Calibri" w:eastAsia="Calibri"/>
          <w:sz w:val="24"/>
        </w:rPr>
      </w:pPr>
      <w:r>
        <w:rPr>
          <w:sz w:val="24"/>
        </w:rPr>
        <w:t>银行存款</w:t>
      </w:r>
    </w:p>
    <w:p>
      <w:pPr>
        <w:pStyle w:val="ListParagraph"/>
        <w:numPr>
          <w:ilvl w:val="1"/>
          <w:numId w:val="8"/>
        </w:numPr>
        <w:tabs>
          <w:tab w:pos="1009" w:val="left" w:leader="none"/>
        </w:tabs>
        <w:spacing w:line="240" w:lineRule="auto" w:before="161" w:after="0"/>
        <w:ind w:left="1008" w:right="0" w:hanging="309"/>
        <w:jc w:val="left"/>
        <w:rPr>
          <w:rFonts w:ascii="Calibri" w:eastAsia="Calibri"/>
          <w:sz w:val="24"/>
        </w:rPr>
      </w:pPr>
      <w:r>
        <w:rPr>
          <w:sz w:val="24"/>
        </w:rPr>
        <w:t>货币资金</w:t>
      </w:r>
    </w:p>
    <w:p>
      <w:pPr>
        <w:pStyle w:val="ListParagraph"/>
        <w:numPr>
          <w:ilvl w:val="1"/>
          <w:numId w:val="8"/>
        </w:numPr>
        <w:tabs>
          <w:tab w:pos="1029" w:val="left" w:leader="none"/>
        </w:tabs>
        <w:spacing w:line="240" w:lineRule="auto" w:before="160" w:after="0"/>
        <w:ind w:left="1028" w:right="0" w:hanging="329"/>
        <w:jc w:val="left"/>
        <w:rPr>
          <w:rFonts w:ascii="Calibri" w:eastAsia="Calibri"/>
          <w:sz w:val="24"/>
        </w:rPr>
      </w:pPr>
      <w:r>
        <w:rPr>
          <w:sz w:val="24"/>
        </w:rPr>
        <w:t>现金</w:t>
      </w:r>
    </w:p>
    <w:p>
      <w:pPr>
        <w:pStyle w:val="ListParagraph"/>
        <w:numPr>
          <w:ilvl w:val="0"/>
          <w:numId w:val="8"/>
        </w:numPr>
        <w:tabs>
          <w:tab w:pos="404" w:val="left" w:leader="none"/>
        </w:tabs>
        <w:spacing w:line="240" w:lineRule="auto" w:before="161" w:after="0"/>
        <w:ind w:left="403" w:right="0" w:hanging="184"/>
        <w:jc w:val="left"/>
        <w:rPr>
          <w:sz w:val="24"/>
        </w:rPr>
      </w:pPr>
      <w:r>
        <w:rPr>
          <w:sz w:val="24"/>
        </w:rPr>
        <w:t>根据“资产</w:t>
      </w:r>
      <w:r>
        <w:rPr>
          <w:rFonts w:ascii="Calibri" w:hAnsi="Calibri" w:eastAsia="Calibri"/>
          <w:sz w:val="24"/>
        </w:rPr>
        <w:t>=</w:t>
      </w:r>
      <w:r>
        <w:rPr>
          <w:sz w:val="24"/>
        </w:rPr>
        <w:t>负债</w:t>
      </w:r>
      <w:r>
        <w:rPr>
          <w:rFonts w:ascii="Calibri" w:hAnsi="Calibri" w:eastAsia="Calibri"/>
          <w:sz w:val="24"/>
        </w:rPr>
        <w:t>+</w:t>
      </w:r>
      <w:r>
        <w:rPr>
          <w:sz w:val="24"/>
        </w:rPr>
        <w:t>所有者权益”这一会计等式编制而成的财务报表是（</w:t>
      </w:r>
      <w:r>
        <w:rPr>
          <w:spacing w:val="-120"/>
          <w:sz w:val="24"/>
        </w:rPr>
        <w:t>）</w:t>
      </w:r>
      <w:r>
        <w:rPr>
          <w:sz w:val="24"/>
        </w:rPr>
        <w:t>。</w:t>
      </w:r>
    </w:p>
    <w:p>
      <w:pPr>
        <w:pStyle w:val="ListParagraph"/>
        <w:numPr>
          <w:ilvl w:val="1"/>
          <w:numId w:val="8"/>
        </w:numPr>
        <w:tabs>
          <w:tab w:pos="1020" w:val="left" w:leader="none"/>
        </w:tabs>
        <w:spacing w:line="240" w:lineRule="auto" w:before="160" w:after="0"/>
        <w:ind w:left="1019" w:right="0" w:hanging="320"/>
        <w:jc w:val="left"/>
        <w:rPr>
          <w:rFonts w:ascii="Calibri" w:eastAsia="Calibri"/>
          <w:sz w:val="24"/>
        </w:rPr>
      </w:pPr>
      <w:r>
        <w:rPr>
          <w:sz w:val="24"/>
        </w:rPr>
        <w:t>所有者权益变动表</w:t>
      </w:r>
    </w:p>
    <w:p>
      <w:pPr>
        <w:pStyle w:val="ListParagraph"/>
        <w:numPr>
          <w:ilvl w:val="1"/>
          <w:numId w:val="8"/>
        </w:numPr>
        <w:tabs>
          <w:tab w:pos="1019" w:val="left" w:leader="none"/>
        </w:tabs>
        <w:spacing w:line="240" w:lineRule="auto" w:before="82" w:after="0"/>
        <w:ind w:left="1018" w:right="0" w:hanging="319"/>
        <w:jc w:val="left"/>
        <w:rPr>
          <w:rFonts w:ascii="Calibri" w:eastAsia="Calibri"/>
          <w:b/>
          <w:color w:val="FF0000"/>
          <w:sz w:val="24"/>
        </w:rPr>
      </w:pPr>
      <w:r>
        <w:rPr>
          <w:rFonts w:ascii="Microsoft JhengHei" w:eastAsia="Microsoft JhengHei" w:hint="eastAsia"/>
          <w:b/>
          <w:color w:val="FF0000"/>
          <w:sz w:val="24"/>
        </w:rPr>
        <w:t>资产负债表</w:t>
      </w:r>
    </w:p>
    <w:p>
      <w:pPr>
        <w:pStyle w:val="ListParagraph"/>
        <w:numPr>
          <w:ilvl w:val="1"/>
          <w:numId w:val="8"/>
        </w:numPr>
        <w:tabs>
          <w:tab w:pos="1009" w:val="left" w:leader="none"/>
        </w:tabs>
        <w:spacing w:line="240" w:lineRule="auto" w:before="106" w:after="0"/>
        <w:ind w:left="1008" w:right="0" w:hanging="309"/>
        <w:jc w:val="left"/>
        <w:rPr>
          <w:rFonts w:ascii="Calibri" w:eastAsia="Calibri"/>
          <w:sz w:val="24"/>
        </w:rPr>
      </w:pPr>
      <w:r>
        <w:rPr>
          <w:sz w:val="24"/>
        </w:rPr>
        <w:t>利润表</w:t>
      </w:r>
    </w:p>
    <w:p>
      <w:pPr>
        <w:pStyle w:val="ListParagraph"/>
        <w:numPr>
          <w:ilvl w:val="1"/>
          <w:numId w:val="8"/>
        </w:numPr>
        <w:tabs>
          <w:tab w:pos="1029" w:val="left" w:leader="none"/>
        </w:tabs>
        <w:spacing w:line="240" w:lineRule="auto" w:before="160" w:after="0"/>
        <w:ind w:left="1028" w:right="0" w:hanging="329"/>
        <w:jc w:val="both"/>
        <w:rPr>
          <w:rFonts w:ascii="Calibri" w:eastAsia="Calibri"/>
          <w:sz w:val="24"/>
        </w:rPr>
      </w:pPr>
      <w:r>
        <w:rPr>
          <w:sz w:val="24"/>
        </w:rPr>
        <w:t>现金流量表</w:t>
      </w:r>
    </w:p>
    <w:p>
      <w:pPr>
        <w:pStyle w:val="ListParagraph"/>
        <w:numPr>
          <w:ilvl w:val="0"/>
          <w:numId w:val="8"/>
        </w:numPr>
        <w:tabs>
          <w:tab w:pos="404" w:val="left" w:leader="none"/>
        </w:tabs>
        <w:spacing w:line="364" w:lineRule="auto" w:before="161" w:after="0"/>
        <w:ind w:left="220" w:right="737" w:firstLine="0"/>
        <w:jc w:val="both"/>
        <w:rPr>
          <w:sz w:val="24"/>
        </w:rPr>
      </w:pPr>
      <w:r>
        <w:rPr>
          <w:spacing w:val="-2"/>
          <w:sz w:val="24"/>
        </w:rPr>
        <w:t>合并报表由企业集团中的</w:t>
      </w:r>
      <w:r>
        <w:rPr>
          <w:spacing w:val="-1"/>
          <w:sz w:val="24"/>
        </w:rPr>
        <w:t>（）于会计年度终了编制的，以其自身、子公司及其</w:t>
      </w:r>
      <w:r>
        <w:rPr>
          <w:spacing w:val="-3"/>
          <w:sz w:val="24"/>
        </w:rPr>
        <w:t>可控制的所有企业为编制范围的，服务于企业集团所有股东和债权人，包括拥有</w:t>
      </w:r>
      <w:r>
        <w:rPr>
          <w:spacing w:val="-10"/>
          <w:sz w:val="24"/>
        </w:rPr>
        <w:t>少数制股权的股东，但主要服务于母公司的控股股东和债权人的一种不同于一般</w:t>
      </w:r>
      <w:r>
        <w:rPr>
          <w:sz w:val="24"/>
        </w:rPr>
        <w:t>单个企业情况的财务报表。</w:t>
      </w:r>
    </w:p>
    <w:p>
      <w:pPr>
        <w:pStyle w:val="ListParagraph"/>
        <w:numPr>
          <w:ilvl w:val="1"/>
          <w:numId w:val="8"/>
        </w:numPr>
        <w:tabs>
          <w:tab w:pos="1020" w:val="left" w:leader="none"/>
        </w:tabs>
        <w:spacing w:line="240" w:lineRule="auto" w:before="2" w:after="0"/>
        <w:ind w:left="1019" w:right="0" w:hanging="320"/>
        <w:jc w:val="both"/>
        <w:rPr>
          <w:rFonts w:ascii="Calibri" w:eastAsia="Calibri"/>
          <w:sz w:val="24"/>
        </w:rPr>
      </w:pPr>
      <w:r>
        <w:rPr>
          <w:sz w:val="24"/>
        </w:rPr>
        <w:t>相关公司</w:t>
      </w:r>
    </w:p>
    <w:p>
      <w:pPr>
        <w:pStyle w:val="ListParagraph"/>
        <w:numPr>
          <w:ilvl w:val="1"/>
          <w:numId w:val="8"/>
        </w:numPr>
        <w:tabs>
          <w:tab w:pos="1012" w:val="left" w:leader="none"/>
        </w:tabs>
        <w:spacing w:line="240" w:lineRule="auto" w:before="160" w:after="0"/>
        <w:ind w:left="1011" w:right="0" w:hanging="312"/>
        <w:jc w:val="both"/>
        <w:rPr>
          <w:rFonts w:ascii="Calibri" w:eastAsia="Calibri"/>
          <w:sz w:val="24"/>
        </w:rPr>
      </w:pPr>
      <w:r>
        <w:rPr>
          <w:sz w:val="24"/>
        </w:rPr>
        <w:t>孙公司</w:t>
      </w:r>
    </w:p>
    <w:p>
      <w:pPr>
        <w:pStyle w:val="ListParagraph"/>
        <w:numPr>
          <w:ilvl w:val="1"/>
          <w:numId w:val="8"/>
        </w:numPr>
        <w:tabs>
          <w:tab w:pos="1009" w:val="left" w:leader="none"/>
        </w:tabs>
        <w:spacing w:line="240" w:lineRule="auto" w:before="161" w:after="0"/>
        <w:ind w:left="1008" w:right="0" w:hanging="309"/>
        <w:jc w:val="both"/>
        <w:rPr>
          <w:rFonts w:ascii="Calibri" w:eastAsia="Calibri"/>
          <w:sz w:val="24"/>
        </w:rPr>
      </w:pPr>
      <w:r>
        <w:rPr>
          <w:sz w:val="24"/>
        </w:rPr>
        <w:t>子公司</w:t>
      </w:r>
    </w:p>
    <w:p>
      <w:pPr>
        <w:pStyle w:val="ListParagraph"/>
        <w:numPr>
          <w:ilvl w:val="1"/>
          <w:numId w:val="8"/>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控股公司（母公司）</w:t>
      </w:r>
    </w:p>
    <w:p>
      <w:pPr>
        <w:pStyle w:val="ListParagraph"/>
        <w:numPr>
          <w:ilvl w:val="0"/>
          <w:numId w:val="8"/>
        </w:numPr>
        <w:tabs>
          <w:tab w:pos="404" w:val="left" w:leader="none"/>
        </w:tabs>
        <w:spacing w:line="240" w:lineRule="auto" w:before="106" w:after="0"/>
        <w:ind w:left="403" w:right="0" w:hanging="184"/>
        <w:jc w:val="left"/>
        <w:rPr>
          <w:sz w:val="24"/>
        </w:rPr>
      </w:pPr>
      <w:r>
        <w:rPr>
          <w:sz w:val="24"/>
        </w:rPr>
        <w:t>我国企业会计准则要求，企业应当采用（）列示经营活动产生的现金流量。</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直接法</w:t>
      </w:r>
    </w:p>
    <w:p>
      <w:pPr>
        <w:pStyle w:val="ListParagraph"/>
        <w:numPr>
          <w:ilvl w:val="1"/>
          <w:numId w:val="8"/>
        </w:numPr>
        <w:tabs>
          <w:tab w:pos="1012" w:val="left" w:leader="none"/>
        </w:tabs>
        <w:spacing w:line="240" w:lineRule="auto" w:before="106" w:after="0"/>
        <w:ind w:left="1011" w:right="0" w:hanging="312"/>
        <w:jc w:val="both"/>
        <w:rPr>
          <w:rFonts w:ascii="Calibri" w:eastAsia="Calibri"/>
          <w:sz w:val="24"/>
        </w:rPr>
      </w:pPr>
      <w:r>
        <w:rPr>
          <w:sz w:val="24"/>
        </w:rPr>
        <w:t>间接法</w:t>
      </w:r>
    </w:p>
    <w:p>
      <w:pPr>
        <w:spacing w:after="0" w:line="240" w:lineRule="auto"/>
        <w:jc w:val="both"/>
        <w:rPr>
          <w:rFonts w:ascii="Calibri" w:eastAsia="Calibri"/>
          <w:sz w:val="24"/>
        </w:rPr>
        <w:sectPr>
          <w:pgSz w:w="11910" w:h="16840"/>
          <w:pgMar w:top="1460" w:bottom="280" w:left="1580" w:right="1060"/>
        </w:sectPr>
      </w:pPr>
    </w:p>
    <w:p>
      <w:pPr>
        <w:pStyle w:val="ListParagraph"/>
        <w:numPr>
          <w:ilvl w:val="1"/>
          <w:numId w:val="8"/>
        </w:numPr>
        <w:tabs>
          <w:tab w:pos="1009" w:val="left" w:leader="none"/>
        </w:tabs>
        <w:spacing w:line="240" w:lineRule="auto" w:before="44" w:after="0"/>
        <w:ind w:left="1008" w:right="0" w:hanging="309"/>
        <w:jc w:val="left"/>
        <w:rPr>
          <w:rFonts w:ascii="Calibri" w:eastAsia="Calibri"/>
          <w:sz w:val="24"/>
        </w:rPr>
      </w:pPr>
      <w:r>
        <w:rPr>
          <w:sz w:val="24"/>
        </w:rPr>
        <w:t>账户式</w:t>
      </w:r>
    </w:p>
    <w:p>
      <w:pPr>
        <w:pStyle w:val="ListParagraph"/>
        <w:numPr>
          <w:ilvl w:val="1"/>
          <w:numId w:val="8"/>
        </w:numPr>
        <w:tabs>
          <w:tab w:pos="1029" w:val="left" w:leader="none"/>
        </w:tabs>
        <w:spacing w:line="240" w:lineRule="auto" w:before="160" w:after="0"/>
        <w:ind w:left="1028" w:right="0" w:hanging="329"/>
        <w:jc w:val="left"/>
        <w:rPr>
          <w:rFonts w:ascii="Calibri" w:eastAsia="Calibri"/>
          <w:sz w:val="24"/>
        </w:rPr>
      </w:pPr>
      <w:r>
        <w:rPr>
          <w:sz w:val="24"/>
        </w:rPr>
        <w:t>报告式</w:t>
      </w:r>
    </w:p>
    <w:p>
      <w:pPr>
        <w:pStyle w:val="ListParagraph"/>
        <w:numPr>
          <w:ilvl w:val="0"/>
          <w:numId w:val="8"/>
        </w:numPr>
        <w:tabs>
          <w:tab w:pos="404" w:val="left" w:leader="none"/>
        </w:tabs>
        <w:spacing w:line="240" w:lineRule="auto" w:before="161" w:after="0"/>
        <w:ind w:left="403" w:right="0" w:hanging="184"/>
        <w:jc w:val="left"/>
        <w:rPr>
          <w:sz w:val="24"/>
        </w:rPr>
      </w:pPr>
      <w:r>
        <w:rPr>
          <w:sz w:val="24"/>
        </w:rPr>
        <w:t>我国当前标准格式的利润表格式是（</w:t>
      </w:r>
      <w:r>
        <w:rPr>
          <w:spacing w:val="-120"/>
          <w:sz w:val="24"/>
        </w:rPr>
        <w:t>）</w:t>
      </w:r>
      <w:r>
        <w:rPr>
          <w:sz w:val="24"/>
        </w:rPr>
        <w:t>。</w:t>
      </w:r>
    </w:p>
    <w:p>
      <w:pPr>
        <w:pStyle w:val="ListParagraph"/>
        <w:numPr>
          <w:ilvl w:val="1"/>
          <w:numId w:val="8"/>
        </w:numPr>
        <w:tabs>
          <w:tab w:pos="1020" w:val="left" w:leader="none"/>
        </w:tabs>
        <w:spacing w:line="240" w:lineRule="auto" w:before="160" w:after="0"/>
        <w:ind w:left="1019" w:right="0" w:hanging="320"/>
        <w:jc w:val="left"/>
        <w:rPr>
          <w:rFonts w:ascii="Calibri" w:eastAsia="Calibri"/>
          <w:sz w:val="24"/>
        </w:rPr>
      </w:pPr>
      <w:r>
        <w:rPr>
          <w:sz w:val="24"/>
        </w:rPr>
        <w:t>单步式</w:t>
      </w:r>
    </w:p>
    <w:p>
      <w:pPr>
        <w:pStyle w:val="ListParagraph"/>
        <w:numPr>
          <w:ilvl w:val="1"/>
          <w:numId w:val="8"/>
        </w:numPr>
        <w:tabs>
          <w:tab w:pos="1012" w:val="left" w:leader="none"/>
        </w:tabs>
        <w:spacing w:line="240" w:lineRule="auto" w:before="161" w:after="0"/>
        <w:ind w:left="1011" w:right="0" w:hanging="312"/>
        <w:jc w:val="left"/>
        <w:rPr>
          <w:rFonts w:ascii="Calibri" w:eastAsia="Calibri"/>
          <w:sz w:val="24"/>
        </w:rPr>
      </w:pPr>
      <w:r>
        <w:rPr>
          <w:sz w:val="24"/>
        </w:rPr>
        <w:t>分步式</w:t>
      </w:r>
    </w:p>
    <w:p>
      <w:pPr>
        <w:pStyle w:val="ListParagraph"/>
        <w:numPr>
          <w:ilvl w:val="1"/>
          <w:numId w:val="8"/>
        </w:numPr>
        <w:tabs>
          <w:tab w:pos="1012" w:val="left" w:leader="none"/>
        </w:tabs>
        <w:spacing w:line="240" w:lineRule="auto" w:before="81" w:after="0"/>
        <w:ind w:left="1011" w:right="0" w:hanging="312"/>
        <w:jc w:val="left"/>
        <w:rPr>
          <w:rFonts w:ascii="Calibri" w:eastAsia="Calibri"/>
          <w:b/>
          <w:color w:val="FF0000"/>
          <w:sz w:val="24"/>
        </w:rPr>
      </w:pPr>
      <w:r>
        <w:rPr>
          <w:rFonts w:ascii="Microsoft JhengHei" w:eastAsia="Microsoft JhengHei" w:hint="eastAsia"/>
          <w:b/>
          <w:color w:val="FF0000"/>
          <w:sz w:val="24"/>
        </w:rPr>
        <w:t>多步式</w:t>
      </w:r>
    </w:p>
    <w:p>
      <w:pPr>
        <w:pStyle w:val="ListParagraph"/>
        <w:numPr>
          <w:ilvl w:val="1"/>
          <w:numId w:val="8"/>
        </w:numPr>
        <w:tabs>
          <w:tab w:pos="1029" w:val="left" w:leader="none"/>
        </w:tabs>
        <w:spacing w:line="240" w:lineRule="auto" w:before="106" w:after="0"/>
        <w:ind w:left="1028" w:right="0" w:hanging="329"/>
        <w:jc w:val="left"/>
        <w:rPr>
          <w:rFonts w:ascii="Calibri" w:eastAsia="Calibri"/>
          <w:sz w:val="24"/>
        </w:rPr>
      </w:pPr>
      <w:r>
        <w:rPr>
          <w:sz w:val="24"/>
        </w:rPr>
        <w:t>报告式</w:t>
      </w:r>
    </w:p>
    <w:p>
      <w:pPr>
        <w:pStyle w:val="ListParagraph"/>
        <w:numPr>
          <w:ilvl w:val="0"/>
          <w:numId w:val="8"/>
        </w:numPr>
        <w:tabs>
          <w:tab w:pos="404" w:val="left" w:leader="none"/>
        </w:tabs>
        <w:spacing w:line="240" w:lineRule="auto" w:before="160" w:after="0"/>
        <w:ind w:left="403" w:right="0" w:hanging="184"/>
        <w:jc w:val="left"/>
        <w:rPr>
          <w:sz w:val="24"/>
        </w:rPr>
      </w:pPr>
      <w:r>
        <w:rPr>
          <w:sz w:val="24"/>
        </w:rPr>
        <w:t>下列各项中，属于投资活动产生的现金流出量是（</w:t>
      </w:r>
      <w:r>
        <w:rPr>
          <w:spacing w:val="-120"/>
          <w:sz w:val="24"/>
        </w:rPr>
        <w:t>）</w:t>
      </w:r>
      <w:r>
        <w:rPr>
          <w:sz w:val="24"/>
        </w:rPr>
        <w:t>。</w:t>
      </w:r>
    </w:p>
    <w:p>
      <w:pPr>
        <w:pStyle w:val="ListParagraph"/>
        <w:numPr>
          <w:ilvl w:val="1"/>
          <w:numId w:val="8"/>
        </w:numPr>
        <w:tabs>
          <w:tab w:pos="1020" w:val="left" w:leader="none"/>
        </w:tabs>
        <w:spacing w:line="240" w:lineRule="auto" w:before="161" w:after="0"/>
        <w:ind w:left="1019" w:right="0" w:hanging="320"/>
        <w:jc w:val="left"/>
        <w:rPr>
          <w:rFonts w:ascii="Calibri" w:eastAsia="Calibri"/>
          <w:sz w:val="24"/>
        </w:rPr>
      </w:pPr>
      <w:r>
        <w:rPr>
          <w:sz w:val="24"/>
        </w:rPr>
        <w:t>支付给股东的股利</w:t>
      </w:r>
    </w:p>
    <w:p>
      <w:pPr>
        <w:pStyle w:val="ListParagraph"/>
        <w:numPr>
          <w:ilvl w:val="1"/>
          <w:numId w:val="8"/>
        </w:numPr>
        <w:tabs>
          <w:tab w:pos="1012" w:val="left" w:leader="none"/>
        </w:tabs>
        <w:spacing w:line="240" w:lineRule="auto" w:before="160" w:after="0"/>
        <w:ind w:left="1011" w:right="0" w:hanging="312"/>
        <w:jc w:val="left"/>
        <w:rPr>
          <w:rFonts w:ascii="Calibri" w:eastAsia="Calibri"/>
          <w:sz w:val="24"/>
        </w:rPr>
      </w:pPr>
      <w:r>
        <w:rPr>
          <w:sz w:val="24"/>
        </w:rPr>
        <w:t>购买原材料支付的现金</w:t>
      </w:r>
    </w:p>
    <w:p>
      <w:pPr>
        <w:pStyle w:val="ListParagraph"/>
        <w:numPr>
          <w:ilvl w:val="1"/>
          <w:numId w:val="8"/>
        </w:numPr>
        <w:tabs>
          <w:tab w:pos="1012" w:val="left" w:leader="none"/>
        </w:tabs>
        <w:spacing w:line="240" w:lineRule="auto" w:before="82" w:after="0"/>
        <w:ind w:left="1011" w:right="0" w:hanging="312"/>
        <w:jc w:val="left"/>
        <w:rPr>
          <w:rFonts w:ascii="Calibri" w:eastAsia="Calibri"/>
          <w:b/>
          <w:color w:val="FF0000"/>
          <w:sz w:val="24"/>
        </w:rPr>
      </w:pPr>
      <w:r>
        <w:rPr>
          <w:rFonts w:ascii="Microsoft JhengHei" w:eastAsia="Microsoft JhengHei" w:hint="eastAsia"/>
          <w:b/>
          <w:color w:val="FF0000"/>
          <w:sz w:val="24"/>
        </w:rPr>
        <w:t>购置无形资产支付的现金</w:t>
      </w:r>
    </w:p>
    <w:p>
      <w:pPr>
        <w:pStyle w:val="ListParagraph"/>
        <w:numPr>
          <w:ilvl w:val="1"/>
          <w:numId w:val="8"/>
        </w:numPr>
        <w:tabs>
          <w:tab w:pos="1029" w:val="left" w:leader="none"/>
        </w:tabs>
        <w:spacing w:line="240" w:lineRule="auto" w:before="106" w:after="0"/>
        <w:ind w:left="1028" w:right="0" w:hanging="329"/>
        <w:jc w:val="left"/>
        <w:rPr>
          <w:rFonts w:ascii="Calibri" w:eastAsia="Calibri"/>
          <w:sz w:val="24"/>
        </w:rPr>
      </w:pPr>
      <w:r>
        <w:rPr>
          <w:sz w:val="24"/>
        </w:rPr>
        <w:t>支付的业务招待费</w:t>
      </w:r>
    </w:p>
    <w:p>
      <w:pPr>
        <w:pStyle w:val="ListParagraph"/>
        <w:numPr>
          <w:ilvl w:val="0"/>
          <w:numId w:val="8"/>
        </w:numPr>
        <w:tabs>
          <w:tab w:pos="404" w:val="left" w:leader="none"/>
        </w:tabs>
        <w:spacing w:line="364" w:lineRule="auto" w:before="160" w:after="0"/>
        <w:ind w:left="220" w:right="737" w:firstLine="0"/>
        <w:jc w:val="left"/>
        <w:rPr>
          <w:sz w:val="24"/>
        </w:rPr>
      </w:pPr>
      <w:r>
        <w:rPr>
          <w:spacing w:val="-2"/>
          <w:sz w:val="24"/>
        </w:rPr>
        <w:t>速动比率是指</w:t>
      </w:r>
      <w:r>
        <w:rPr>
          <w:spacing w:val="-1"/>
          <w:sz w:val="24"/>
        </w:rPr>
        <w:t>（）对流动负债的比率，用来衡量企业流动资产中可以立即变现</w:t>
      </w:r>
      <w:r>
        <w:rPr>
          <w:sz w:val="24"/>
        </w:rPr>
        <w:t>用于偿还流动负债的能力。</w:t>
      </w:r>
    </w:p>
    <w:p>
      <w:pPr>
        <w:pStyle w:val="ListParagraph"/>
        <w:numPr>
          <w:ilvl w:val="1"/>
          <w:numId w:val="8"/>
        </w:numPr>
        <w:tabs>
          <w:tab w:pos="1030" w:val="left" w:leader="none"/>
        </w:tabs>
        <w:spacing w:line="363" w:lineRule="exact" w:before="0" w:after="0"/>
        <w:ind w:left="1029" w:right="0" w:hanging="330"/>
        <w:jc w:val="left"/>
        <w:rPr>
          <w:rFonts w:ascii="Calibri" w:eastAsia="Calibri"/>
          <w:b/>
          <w:color w:val="FF0000"/>
          <w:sz w:val="24"/>
        </w:rPr>
      </w:pPr>
      <w:r>
        <w:rPr>
          <w:rFonts w:ascii="Microsoft JhengHei" w:eastAsia="Microsoft JhengHei" w:hint="eastAsia"/>
          <w:b/>
          <w:color w:val="FF0000"/>
          <w:sz w:val="24"/>
        </w:rPr>
        <w:t>速动资产</w:t>
      </w:r>
    </w:p>
    <w:p>
      <w:pPr>
        <w:pStyle w:val="ListParagraph"/>
        <w:numPr>
          <w:ilvl w:val="1"/>
          <w:numId w:val="8"/>
        </w:numPr>
        <w:tabs>
          <w:tab w:pos="1012" w:val="left" w:leader="none"/>
        </w:tabs>
        <w:spacing w:line="240" w:lineRule="auto" w:before="106" w:after="0"/>
        <w:ind w:left="1011" w:right="0" w:hanging="312"/>
        <w:jc w:val="left"/>
        <w:rPr>
          <w:rFonts w:ascii="Calibri" w:eastAsia="Calibri"/>
          <w:sz w:val="24"/>
        </w:rPr>
      </w:pPr>
      <w:r>
        <w:rPr>
          <w:sz w:val="24"/>
        </w:rPr>
        <w:t>短期资产</w:t>
      </w:r>
    </w:p>
    <w:p>
      <w:pPr>
        <w:pStyle w:val="ListParagraph"/>
        <w:numPr>
          <w:ilvl w:val="1"/>
          <w:numId w:val="8"/>
        </w:numPr>
        <w:tabs>
          <w:tab w:pos="1009" w:val="left" w:leader="none"/>
        </w:tabs>
        <w:spacing w:line="240" w:lineRule="auto" w:before="161" w:after="0"/>
        <w:ind w:left="1008" w:right="0" w:hanging="309"/>
        <w:jc w:val="left"/>
        <w:rPr>
          <w:rFonts w:ascii="Calibri" w:eastAsia="Calibri"/>
          <w:sz w:val="24"/>
        </w:rPr>
      </w:pPr>
      <w:r>
        <w:rPr>
          <w:sz w:val="24"/>
        </w:rPr>
        <w:t>流动资产</w:t>
      </w:r>
    </w:p>
    <w:p>
      <w:pPr>
        <w:pStyle w:val="ListParagraph"/>
        <w:numPr>
          <w:ilvl w:val="1"/>
          <w:numId w:val="8"/>
        </w:numPr>
        <w:tabs>
          <w:tab w:pos="1029" w:val="left" w:leader="none"/>
        </w:tabs>
        <w:spacing w:line="240" w:lineRule="auto" w:before="160" w:after="0"/>
        <w:ind w:left="1028" w:right="0" w:hanging="329"/>
        <w:jc w:val="left"/>
        <w:rPr>
          <w:rFonts w:ascii="Calibri" w:eastAsia="Calibri"/>
          <w:sz w:val="24"/>
        </w:rPr>
      </w:pPr>
      <w:r>
        <w:rPr>
          <w:sz w:val="24"/>
        </w:rPr>
        <w:t>长期资产</w:t>
      </w:r>
    </w:p>
    <w:p>
      <w:pPr>
        <w:pStyle w:val="ListParagraph"/>
        <w:numPr>
          <w:ilvl w:val="0"/>
          <w:numId w:val="8"/>
        </w:numPr>
        <w:tabs>
          <w:tab w:pos="404" w:val="left" w:leader="none"/>
        </w:tabs>
        <w:spacing w:line="240" w:lineRule="auto" w:before="161" w:after="0"/>
        <w:ind w:left="403" w:right="0" w:hanging="184"/>
        <w:jc w:val="left"/>
        <w:rPr>
          <w:sz w:val="24"/>
        </w:rPr>
      </w:pPr>
      <w:r>
        <w:rPr>
          <w:sz w:val="24"/>
        </w:rPr>
        <w:t>利用财务报表分析评价企业资金周转使用情况和效率，称为（）分析。</w:t>
      </w:r>
    </w:p>
    <w:p>
      <w:pPr>
        <w:pStyle w:val="ListParagraph"/>
        <w:numPr>
          <w:ilvl w:val="1"/>
          <w:numId w:val="8"/>
        </w:numPr>
        <w:tabs>
          <w:tab w:pos="1020" w:val="left" w:leader="none"/>
        </w:tabs>
        <w:spacing w:line="240" w:lineRule="auto" w:before="160" w:after="0"/>
        <w:ind w:left="1019" w:right="0" w:hanging="320"/>
        <w:jc w:val="left"/>
        <w:rPr>
          <w:rFonts w:ascii="Calibri" w:eastAsia="Calibri"/>
          <w:sz w:val="24"/>
        </w:rPr>
      </w:pPr>
      <w:r>
        <w:rPr>
          <w:sz w:val="24"/>
        </w:rPr>
        <w:t>偿债能力</w:t>
      </w:r>
    </w:p>
    <w:p>
      <w:pPr>
        <w:pStyle w:val="ListParagraph"/>
        <w:numPr>
          <w:ilvl w:val="1"/>
          <w:numId w:val="8"/>
        </w:numPr>
        <w:tabs>
          <w:tab w:pos="1012" w:val="left" w:leader="none"/>
        </w:tabs>
        <w:spacing w:line="240" w:lineRule="auto" w:before="161" w:after="0"/>
        <w:ind w:left="1011" w:right="0" w:hanging="312"/>
        <w:jc w:val="left"/>
        <w:rPr>
          <w:rFonts w:ascii="Calibri" w:eastAsia="Calibri"/>
          <w:sz w:val="24"/>
        </w:rPr>
      </w:pPr>
      <w:r>
        <w:rPr>
          <w:sz w:val="24"/>
        </w:rPr>
        <w:t>获利能力</w:t>
      </w:r>
    </w:p>
    <w:p>
      <w:pPr>
        <w:pStyle w:val="ListParagraph"/>
        <w:numPr>
          <w:ilvl w:val="1"/>
          <w:numId w:val="8"/>
        </w:numPr>
        <w:tabs>
          <w:tab w:pos="1009" w:val="left" w:leader="none"/>
        </w:tabs>
        <w:spacing w:line="240" w:lineRule="auto" w:before="160" w:after="0"/>
        <w:ind w:left="1008" w:right="0" w:hanging="309"/>
        <w:jc w:val="left"/>
        <w:rPr>
          <w:rFonts w:ascii="Calibri" w:eastAsia="Calibri"/>
          <w:sz w:val="24"/>
        </w:rPr>
      </w:pPr>
      <w:r>
        <w:rPr>
          <w:sz w:val="24"/>
        </w:rPr>
        <w:t>发展能力</w:t>
      </w:r>
    </w:p>
    <w:p>
      <w:pPr>
        <w:pStyle w:val="ListParagraph"/>
        <w:numPr>
          <w:ilvl w:val="1"/>
          <w:numId w:val="8"/>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营运能力</w:t>
      </w:r>
    </w:p>
    <w:p>
      <w:pPr>
        <w:pStyle w:val="ListParagraph"/>
        <w:numPr>
          <w:ilvl w:val="0"/>
          <w:numId w:val="8"/>
        </w:numPr>
        <w:tabs>
          <w:tab w:pos="404" w:val="left" w:leader="none"/>
        </w:tabs>
        <w:spacing w:line="240" w:lineRule="auto" w:before="106" w:after="0"/>
        <w:ind w:left="403" w:right="0" w:hanging="184"/>
        <w:jc w:val="left"/>
        <w:rPr>
          <w:sz w:val="24"/>
        </w:rPr>
      </w:pPr>
      <w:r>
        <w:rPr>
          <w:sz w:val="24"/>
        </w:rPr>
        <w:t>下列公式中不正确的是（</w:t>
      </w:r>
      <w:r>
        <w:rPr>
          <w:spacing w:val="-120"/>
          <w:sz w:val="24"/>
        </w:rPr>
        <w:t>）</w:t>
      </w:r>
      <w:r>
        <w:rPr>
          <w:sz w:val="24"/>
        </w:rPr>
        <w:t>。</w:t>
      </w:r>
    </w:p>
    <w:p>
      <w:pPr>
        <w:pStyle w:val="ListParagraph"/>
        <w:numPr>
          <w:ilvl w:val="1"/>
          <w:numId w:val="8"/>
        </w:numPr>
        <w:tabs>
          <w:tab w:pos="1020" w:val="left" w:leader="none"/>
        </w:tabs>
        <w:spacing w:line="240" w:lineRule="auto" w:before="161" w:after="0"/>
        <w:ind w:left="1019" w:right="0" w:hanging="320"/>
        <w:jc w:val="left"/>
        <w:rPr>
          <w:rFonts w:ascii="Calibri" w:eastAsia="Calibri"/>
          <w:sz w:val="24"/>
        </w:rPr>
      </w:pPr>
      <w:r>
        <w:rPr>
          <w:sz w:val="24"/>
        </w:rPr>
        <w:t>流动比率</w:t>
      </w:r>
      <w:r>
        <w:rPr>
          <w:rFonts w:ascii="Calibri" w:eastAsia="Calibri"/>
          <w:sz w:val="24"/>
        </w:rPr>
        <w:t>=</w:t>
      </w:r>
      <w:r>
        <w:rPr>
          <w:sz w:val="24"/>
        </w:rPr>
        <w:t>流动资产</w:t>
      </w:r>
      <w:r>
        <w:rPr>
          <w:rFonts w:ascii="Calibri" w:eastAsia="Calibri"/>
          <w:sz w:val="24"/>
        </w:rPr>
        <w:t>/</w:t>
      </w:r>
      <w:r>
        <w:rPr>
          <w:sz w:val="24"/>
        </w:rPr>
        <w:t>流动负债</w:t>
      </w:r>
    </w:p>
    <w:p>
      <w:pPr>
        <w:pStyle w:val="ListParagraph"/>
        <w:numPr>
          <w:ilvl w:val="1"/>
          <w:numId w:val="8"/>
        </w:numPr>
        <w:tabs>
          <w:tab w:pos="1012" w:val="left" w:leader="none"/>
        </w:tabs>
        <w:spacing w:line="240" w:lineRule="auto" w:before="160" w:after="0"/>
        <w:ind w:left="1011" w:right="0" w:hanging="312"/>
        <w:jc w:val="left"/>
        <w:rPr>
          <w:rFonts w:ascii="Calibri" w:eastAsia="Calibri"/>
          <w:sz w:val="24"/>
        </w:rPr>
      </w:pPr>
      <w:r>
        <w:rPr>
          <w:sz w:val="24"/>
        </w:rPr>
        <w:t>资本积累率</w:t>
      </w:r>
      <w:r>
        <w:rPr>
          <w:rFonts w:ascii="Calibri" w:eastAsia="Calibri"/>
          <w:sz w:val="24"/>
        </w:rPr>
        <w:t>=</w:t>
      </w:r>
      <w:r>
        <w:rPr>
          <w:sz w:val="24"/>
        </w:rPr>
        <w:t>当年所有者权益增长额</w:t>
      </w:r>
      <w:r>
        <w:rPr>
          <w:rFonts w:ascii="Calibri" w:eastAsia="Calibri"/>
          <w:sz w:val="24"/>
        </w:rPr>
        <w:t>/</w:t>
      </w:r>
      <w:r>
        <w:rPr>
          <w:sz w:val="24"/>
        </w:rPr>
        <w:t>年初所有者权益总额</w:t>
      </w:r>
    </w:p>
    <w:p>
      <w:pPr>
        <w:pStyle w:val="ListParagraph"/>
        <w:numPr>
          <w:ilvl w:val="1"/>
          <w:numId w:val="8"/>
        </w:numPr>
        <w:tabs>
          <w:tab w:pos="1009" w:val="left" w:leader="none"/>
        </w:tabs>
        <w:spacing w:line="240" w:lineRule="auto" w:before="161" w:after="0"/>
        <w:ind w:left="1008" w:right="0" w:hanging="309"/>
        <w:jc w:val="left"/>
        <w:rPr>
          <w:rFonts w:ascii="Calibri" w:eastAsia="Calibri"/>
          <w:sz w:val="24"/>
        </w:rPr>
      </w:pPr>
      <w:r>
        <w:rPr>
          <w:sz w:val="24"/>
        </w:rPr>
        <w:t>净资产收益率</w:t>
      </w:r>
      <w:r>
        <w:rPr>
          <w:rFonts w:ascii="Calibri" w:eastAsia="Calibri"/>
          <w:sz w:val="24"/>
        </w:rPr>
        <w:t>=</w:t>
      </w:r>
      <w:r>
        <w:rPr>
          <w:sz w:val="24"/>
        </w:rPr>
        <w:t>净利润</w:t>
      </w:r>
      <w:r>
        <w:rPr>
          <w:rFonts w:ascii="Calibri" w:eastAsia="Calibri"/>
          <w:sz w:val="24"/>
        </w:rPr>
        <w:t>/</w:t>
      </w:r>
      <w:r>
        <w:rPr>
          <w:sz w:val="24"/>
        </w:rPr>
        <w:t>平均所有者权益</w:t>
      </w:r>
    </w:p>
    <w:p>
      <w:pPr>
        <w:pStyle w:val="ListParagraph"/>
        <w:numPr>
          <w:ilvl w:val="1"/>
          <w:numId w:val="8"/>
        </w:numPr>
        <w:tabs>
          <w:tab w:pos="1036" w:val="left" w:leader="none"/>
        </w:tabs>
        <w:spacing w:line="240" w:lineRule="auto" w:before="81" w:after="0"/>
        <w:ind w:left="1035" w:right="0" w:hanging="336"/>
        <w:jc w:val="left"/>
        <w:rPr>
          <w:rFonts w:ascii="Calibri" w:eastAsia="Calibri"/>
          <w:b/>
          <w:color w:val="FF0000"/>
          <w:sz w:val="24"/>
        </w:rPr>
      </w:pPr>
      <w:r>
        <w:rPr>
          <w:rFonts w:ascii="Microsoft JhengHei" w:eastAsia="Microsoft JhengHei" w:hint="eastAsia"/>
          <w:b/>
          <w:color w:val="FF0000"/>
          <w:sz w:val="24"/>
        </w:rPr>
        <w:t>资产负债率</w:t>
      </w:r>
      <w:r>
        <w:rPr>
          <w:rFonts w:ascii="Calibri" w:eastAsia="Calibri"/>
          <w:b/>
          <w:color w:val="FF0000"/>
          <w:sz w:val="24"/>
        </w:rPr>
        <w:t>=</w:t>
      </w:r>
      <w:r>
        <w:rPr>
          <w:rFonts w:ascii="Microsoft JhengHei" w:eastAsia="Microsoft JhengHei" w:hint="eastAsia"/>
          <w:b/>
          <w:color w:val="FF0000"/>
          <w:sz w:val="24"/>
        </w:rPr>
        <w:t>资产</w:t>
      </w:r>
      <w:r>
        <w:rPr>
          <w:rFonts w:ascii="Calibri" w:eastAsia="Calibri"/>
          <w:b/>
          <w:color w:val="FF0000"/>
          <w:sz w:val="24"/>
        </w:rPr>
        <w:t>/</w:t>
      </w:r>
      <w:r>
        <w:rPr>
          <w:rFonts w:ascii="Microsoft JhengHei" w:eastAsia="Microsoft JhengHei" w:hint="eastAsia"/>
          <w:b/>
          <w:color w:val="FF0000"/>
          <w:sz w:val="24"/>
        </w:rPr>
        <w:t>负债</w:t>
      </w:r>
    </w:p>
    <w:p>
      <w:pPr>
        <w:pStyle w:val="ListParagraph"/>
        <w:numPr>
          <w:ilvl w:val="0"/>
          <w:numId w:val="8"/>
        </w:numPr>
        <w:tabs>
          <w:tab w:pos="525" w:val="left" w:leader="none"/>
        </w:tabs>
        <w:spacing w:line="240" w:lineRule="auto" w:before="106" w:after="0"/>
        <w:ind w:left="524" w:right="0" w:hanging="305"/>
        <w:jc w:val="left"/>
        <w:rPr>
          <w:sz w:val="24"/>
        </w:rPr>
      </w:pPr>
      <w:r>
        <w:rPr>
          <w:sz w:val="24"/>
        </w:rPr>
        <w:t>关于杜邦分析法的描述不正确的是（</w:t>
      </w:r>
      <w:r>
        <w:rPr>
          <w:spacing w:val="-120"/>
          <w:sz w:val="24"/>
        </w:rPr>
        <w:t>）</w:t>
      </w:r>
      <w:r>
        <w:rPr>
          <w:sz w:val="24"/>
        </w:rPr>
        <w:t>。</w:t>
      </w:r>
    </w:p>
    <w:p>
      <w:pPr>
        <w:spacing w:after="0" w:line="240" w:lineRule="auto"/>
        <w:jc w:val="left"/>
        <w:rPr>
          <w:sz w:val="24"/>
        </w:rPr>
        <w:sectPr>
          <w:pgSz w:w="11910" w:h="16840"/>
          <w:pgMar w:top="1460" w:bottom="280" w:left="1580" w:right="1060"/>
        </w:sectPr>
      </w:pPr>
    </w:p>
    <w:p>
      <w:pPr>
        <w:pStyle w:val="ListParagraph"/>
        <w:numPr>
          <w:ilvl w:val="1"/>
          <w:numId w:val="8"/>
        </w:numPr>
        <w:tabs>
          <w:tab w:pos="1020" w:val="left" w:leader="none"/>
        </w:tabs>
        <w:spacing w:line="240" w:lineRule="auto" w:before="44" w:after="0"/>
        <w:ind w:left="1019" w:right="0" w:hanging="320"/>
        <w:jc w:val="left"/>
        <w:rPr>
          <w:rFonts w:ascii="Calibri" w:eastAsia="Calibri"/>
          <w:sz w:val="24"/>
        </w:rPr>
      </w:pPr>
      <w:r>
        <w:rPr>
          <w:sz w:val="24"/>
        </w:rPr>
        <w:t>净资产报酬率可以分解为总资产净利率与平均权益乘数的乘积</w:t>
      </w:r>
    </w:p>
    <w:p>
      <w:pPr>
        <w:pStyle w:val="ListParagraph"/>
        <w:numPr>
          <w:ilvl w:val="1"/>
          <w:numId w:val="8"/>
        </w:numPr>
        <w:tabs>
          <w:tab w:pos="1012" w:val="left" w:leader="none"/>
        </w:tabs>
        <w:spacing w:line="240" w:lineRule="auto" w:before="160" w:after="0"/>
        <w:ind w:left="1011" w:right="0" w:hanging="312"/>
        <w:jc w:val="left"/>
        <w:rPr>
          <w:rFonts w:ascii="Calibri" w:eastAsia="Calibri"/>
          <w:sz w:val="24"/>
        </w:rPr>
      </w:pPr>
      <w:r>
        <w:rPr>
          <w:sz w:val="24"/>
        </w:rPr>
        <w:t>总资产净利率可以分解为营业净利率与总资产周转率的乘积</w:t>
      </w:r>
    </w:p>
    <w:p>
      <w:pPr>
        <w:pStyle w:val="ListParagraph"/>
        <w:numPr>
          <w:ilvl w:val="1"/>
          <w:numId w:val="8"/>
        </w:numPr>
        <w:tabs>
          <w:tab w:pos="1009" w:val="left" w:leader="none"/>
        </w:tabs>
        <w:spacing w:line="240" w:lineRule="auto" w:before="161" w:after="0"/>
        <w:ind w:left="1008" w:right="0" w:hanging="309"/>
        <w:jc w:val="left"/>
        <w:rPr>
          <w:rFonts w:ascii="Calibri" w:eastAsia="Calibri"/>
          <w:sz w:val="24"/>
        </w:rPr>
      </w:pPr>
      <w:r>
        <w:rPr>
          <w:sz w:val="24"/>
        </w:rPr>
        <w:t>杜邦分析体系的核心是净资产报酬率</w:t>
      </w:r>
    </w:p>
    <w:p>
      <w:pPr>
        <w:pStyle w:val="ListParagraph"/>
        <w:numPr>
          <w:ilvl w:val="1"/>
          <w:numId w:val="8"/>
        </w:numPr>
        <w:tabs>
          <w:tab w:pos="1036" w:val="left" w:leader="none"/>
        </w:tabs>
        <w:spacing w:line="254" w:lineRule="auto" w:before="81" w:after="0"/>
        <w:ind w:left="220" w:right="3789" w:firstLine="480"/>
        <w:jc w:val="left"/>
        <w:rPr>
          <w:rFonts w:ascii="Calibri" w:eastAsia="Calibri"/>
          <w:b/>
          <w:color w:val="FF0000"/>
          <w:sz w:val="24"/>
        </w:rPr>
      </w:pPr>
      <w:r>
        <w:rPr>
          <w:rFonts w:ascii="Microsoft JhengHei" w:eastAsia="Microsoft JhengHei" w:hint="eastAsia"/>
          <w:b/>
          <w:color w:val="FF0000"/>
          <w:sz w:val="24"/>
        </w:rPr>
        <w:t>平均权益乘数等于平均净资产</w:t>
      </w:r>
      <w:r>
        <w:rPr>
          <w:rFonts w:ascii="Calibri" w:eastAsia="Calibri"/>
          <w:b/>
          <w:color w:val="FF0000"/>
          <w:sz w:val="24"/>
        </w:rPr>
        <w:t>/</w:t>
      </w:r>
      <w:r>
        <w:rPr>
          <w:rFonts w:ascii="Microsoft JhengHei" w:eastAsia="Microsoft JhengHei" w:hint="eastAsia"/>
          <w:b/>
          <w:color w:val="FF0000"/>
          <w:sz w:val="24"/>
        </w:rPr>
        <w:t>平均总资产</w:t>
      </w:r>
      <w:r>
        <w:rPr>
          <w:rFonts w:ascii="Microsoft JhengHei" w:eastAsia="Microsoft JhengHei" w:hint="eastAsia"/>
          <w:b/>
          <w:sz w:val="24"/>
        </w:rPr>
        <w:t>二、多项选择题（每题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分合计 </w:t>
      </w:r>
      <w:r>
        <w:rPr>
          <w:rFonts w:ascii="Calibri" w:eastAsia="Calibri"/>
          <w:b/>
          <w:sz w:val="24"/>
        </w:rPr>
        <w:t>30</w:t>
      </w:r>
      <w:r>
        <w:rPr>
          <w:rFonts w:ascii="Calibri" w:eastAsia="Calibri"/>
          <w:b/>
          <w:spacing w:val="5"/>
          <w:sz w:val="24"/>
        </w:rPr>
        <w:t> </w:t>
      </w:r>
      <w:r>
        <w:rPr>
          <w:rFonts w:ascii="Microsoft JhengHei" w:eastAsia="Microsoft JhengHei" w:hint="eastAsia"/>
          <w:b/>
          <w:sz w:val="24"/>
        </w:rPr>
        <w:t>分）</w:t>
      </w:r>
    </w:p>
    <w:p>
      <w:pPr>
        <w:pStyle w:val="ListParagraph"/>
        <w:numPr>
          <w:ilvl w:val="0"/>
          <w:numId w:val="8"/>
        </w:numPr>
        <w:tabs>
          <w:tab w:pos="525" w:val="left" w:leader="none"/>
        </w:tabs>
        <w:spacing w:line="240" w:lineRule="auto" w:before="80" w:after="0"/>
        <w:ind w:left="524" w:right="0" w:hanging="305"/>
        <w:jc w:val="left"/>
        <w:rPr>
          <w:sz w:val="24"/>
        </w:rPr>
      </w:pPr>
      <w:r>
        <w:rPr>
          <w:sz w:val="24"/>
        </w:rPr>
        <w:t>现金流量表的特征（）</w:t>
      </w:r>
    </w:p>
    <w:p>
      <w:pPr>
        <w:pStyle w:val="ListParagraph"/>
        <w:numPr>
          <w:ilvl w:val="1"/>
          <w:numId w:val="8"/>
        </w:numPr>
        <w:tabs>
          <w:tab w:pos="1020" w:val="left" w:leader="none"/>
        </w:tabs>
        <w:spacing w:line="240" w:lineRule="auto" w:before="160" w:after="0"/>
        <w:ind w:left="1019" w:right="0" w:hanging="320"/>
        <w:jc w:val="left"/>
        <w:rPr>
          <w:rFonts w:ascii="Calibri" w:eastAsia="Calibri"/>
          <w:sz w:val="24"/>
        </w:rPr>
      </w:pPr>
      <w:r>
        <w:rPr>
          <w:sz w:val="24"/>
        </w:rPr>
        <w:t>现金流量表的编制基础是权责发生制。</w:t>
      </w:r>
    </w:p>
    <w:p>
      <w:pPr>
        <w:pStyle w:val="ListParagraph"/>
        <w:numPr>
          <w:ilvl w:val="1"/>
          <w:numId w:val="8"/>
        </w:numPr>
        <w:tabs>
          <w:tab w:pos="1019" w:val="left" w:leader="none"/>
        </w:tabs>
        <w:spacing w:line="240" w:lineRule="auto" w:before="81" w:after="0"/>
        <w:ind w:left="1018" w:right="0" w:hanging="319"/>
        <w:jc w:val="left"/>
        <w:rPr>
          <w:rFonts w:ascii="Calibri" w:eastAsia="Calibri"/>
          <w:b/>
          <w:color w:val="FF0000"/>
          <w:sz w:val="24"/>
        </w:rPr>
      </w:pPr>
      <w:r>
        <w:rPr>
          <w:rFonts w:ascii="Microsoft JhengHei" w:eastAsia="Microsoft JhengHei" w:hint="eastAsia"/>
          <w:b/>
          <w:color w:val="FF0000"/>
          <w:sz w:val="24"/>
        </w:rPr>
        <w:t>现金流量表以专门的会计准则予以规范。</w:t>
      </w:r>
    </w:p>
    <w:p>
      <w:pPr>
        <w:pStyle w:val="ListParagraph"/>
        <w:numPr>
          <w:ilvl w:val="1"/>
          <w:numId w:val="8"/>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现金流量表是财务报表体系中唯一一个按照收付实现制编制的财务报表。</w:t>
      </w:r>
    </w:p>
    <w:p>
      <w:pPr>
        <w:pStyle w:val="ListParagraph"/>
        <w:numPr>
          <w:ilvl w:val="1"/>
          <w:numId w:val="8"/>
        </w:numPr>
        <w:tabs>
          <w:tab w:pos="1037" w:val="left" w:leader="none"/>
        </w:tabs>
        <w:spacing w:line="254" w:lineRule="auto" w:before="27" w:after="0"/>
        <w:ind w:left="220" w:right="739" w:firstLine="480"/>
        <w:jc w:val="left"/>
        <w:rPr>
          <w:rFonts w:ascii="Calibri" w:eastAsia="Calibri"/>
          <w:b/>
          <w:color w:val="FF0000"/>
          <w:sz w:val="24"/>
        </w:rPr>
      </w:pPr>
      <w:r>
        <w:rPr>
          <w:rFonts w:ascii="Microsoft JhengHei" w:eastAsia="Microsoft JhengHei" w:hint="eastAsia"/>
          <w:b/>
          <w:color w:val="FF0000"/>
          <w:sz w:val="24"/>
        </w:rPr>
        <w:t>现金流量表从动态、静态两个方面与资产负债表、利润表构成了三足鼎立报表体系格局。</w:t>
      </w:r>
    </w:p>
    <w:p>
      <w:pPr>
        <w:pStyle w:val="ListParagraph"/>
        <w:numPr>
          <w:ilvl w:val="0"/>
          <w:numId w:val="8"/>
        </w:numPr>
        <w:tabs>
          <w:tab w:pos="525" w:val="left" w:leader="none"/>
        </w:tabs>
        <w:spacing w:line="240" w:lineRule="auto" w:before="79" w:after="0"/>
        <w:ind w:left="524" w:right="0" w:hanging="305"/>
        <w:jc w:val="left"/>
        <w:rPr>
          <w:sz w:val="24"/>
        </w:rPr>
      </w:pPr>
      <w:r>
        <w:rPr>
          <w:sz w:val="24"/>
        </w:rPr>
        <w:t>在所有者权益变动表中，企业单独列示反映了下列信息（）</w:t>
      </w:r>
    </w:p>
    <w:p>
      <w:pPr>
        <w:pStyle w:val="ListParagraph"/>
        <w:numPr>
          <w:ilvl w:val="1"/>
          <w:numId w:val="8"/>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所有者权益总量的增减变动</w:t>
      </w:r>
    </w:p>
    <w:p>
      <w:pPr>
        <w:pStyle w:val="ListParagraph"/>
        <w:numPr>
          <w:ilvl w:val="1"/>
          <w:numId w:val="8"/>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直接计入所有者权益的利得和损失</w:t>
      </w:r>
    </w:p>
    <w:p>
      <w:pPr>
        <w:pStyle w:val="ListParagraph"/>
        <w:numPr>
          <w:ilvl w:val="1"/>
          <w:numId w:val="8"/>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所有者权益增减变动的重要结构性信息</w:t>
      </w:r>
    </w:p>
    <w:p>
      <w:pPr>
        <w:pStyle w:val="ListParagraph"/>
        <w:numPr>
          <w:ilvl w:val="1"/>
          <w:numId w:val="8"/>
        </w:numPr>
        <w:tabs>
          <w:tab w:pos="1029" w:val="left" w:leader="none"/>
        </w:tabs>
        <w:spacing w:line="240" w:lineRule="auto" w:before="106" w:after="0"/>
        <w:ind w:left="1028" w:right="0" w:hanging="329"/>
        <w:jc w:val="left"/>
        <w:rPr>
          <w:rFonts w:ascii="Calibri" w:eastAsia="Calibri"/>
          <w:sz w:val="24"/>
        </w:rPr>
      </w:pPr>
      <w:r>
        <w:rPr>
          <w:sz w:val="24"/>
        </w:rPr>
        <w:t>其他相关信息</w:t>
      </w:r>
    </w:p>
    <w:p>
      <w:pPr>
        <w:pStyle w:val="ListParagraph"/>
        <w:numPr>
          <w:ilvl w:val="0"/>
          <w:numId w:val="8"/>
        </w:numPr>
        <w:tabs>
          <w:tab w:pos="525" w:val="left" w:leader="none"/>
        </w:tabs>
        <w:spacing w:line="240" w:lineRule="auto" w:before="160" w:after="0"/>
        <w:ind w:left="524" w:right="0" w:hanging="305"/>
        <w:jc w:val="left"/>
        <w:rPr>
          <w:sz w:val="24"/>
        </w:rPr>
      </w:pPr>
      <w:r>
        <w:rPr>
          <w:sz w:val="24"/>
        </w:rPr>
        <w:t>合并财务报表至少应当包括下列组成部分：（）</w:t>
      </w:r>
    </w:p>
    <w:p>
      <w:pPr>
        <w:pStyle w:val="ListParagraph"/>
        <w:numPr>
          <w:ilvl w:val="1"/>
          <w:numId w:val="8"/>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合并所有者权益</w:t>
      </w:r>
      <w:r>
        <w:rPr>
          <w:rFonts w:ascii="Calibri" w:eastAsia="Calibri"/>
          <w:b/>
          <w:color w:val="FF0000"/>
          <w:sz w:val="24"/>
        </w:rPr>
        <w:t>(</w:t>
      </w:r>
      <w:r>
        <w:rPr>
          <w:rFonts w:ascii="Microsoft JhengHei" w:eastAsia="Microsoft JhengHei" w:hint="eastAsia"/>
          <w:b/>
          <w:color w:val="FF0000"/>
          <w:sz w:val="24"/>
        </w:rPr>
        <w:t>或股东权益，下同</w:t>
      </w:r>
      <w:r>
        <w:rPr>
          <w:rFonts w:ascii="Calibri" w:eastAsia="Calibri"/>
          <w:b/>
          <w:color w:val="FF0000"/>
          <w:sz w:val="24"/>
        </w:rPr>
        <w:t>)</w:t>
      </w:r>
      <w:r>
        <w:rPr>
          <w:rFonts w:ascii="Microsoft JhengHei" w:eastAsia="Microsoft JhengHei" w:hint="eastAsia"/>
          <w:b/>
          <w:color w:val="FF0000"/>
          <w:sz w:val="24"/>
        </w:rPr>
        <w:t>变动表</w:t>
      </w:r>
    </w:p>
    <w:p>
      <w:pPr>
        <w:pStyle w:val="ListParagraph"/>
        <w:numPr>
          <w:ilvl w:val="1"/>
          <w:numId w:val="8"/>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合并利润表</w:t>
      </w:r>
    </w:p>
    <w:p>
      <w:pPr>
        <w:pStyle w:val="ListParagraph"/>
        <w:numPr>
          <w:ilvl w:val="1"/>
          <w:numId w:val="8"/>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合并资产负债表</w:t>
      </w:r>
    </w:p>
    <w:p>
      <w:pPr>
        <w:pStyle w:val="ListParagraph"/>
        <w:numPr>
          <w:ilvl w:val="1"/>
          <w:numId w:val="8"/>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合并现金流量表</w:t>
      </w:r>
    </w:p>
    <w:p>
      <w:pPr>
        <w:pStyle w:val="ListParagraph"/>
        <w:numPr>
          <w:ilvl w:val="1"/>
          <w:numId w:val="8"/>
        </w:numPr>
        <w:tabs>
          <w:tab w:pos="1002" w:val="left" w:leader="none"/>
        </w:tabs>
        <w:spacing w:line="240" w:lineRule="auto" w:before="26" w:after="0"/>
        <w:ind w:left="1001" w:right="0" w:hanging="302"/>
        <w:jc w:val="left"/>
        <w:rPr>
          <w:rFonts w:ascii="Calibri" w:eastAsia="Calibri"/>
          <w:b/>
          <w:color w:val="FF0000"/>
          <w:sz w:val="24"/>
        </w:rPr>
      </w:pPr>
      <w:r>
        <w:rPr>
          <w:rFonts w:ascii="Microsoft JhengHei" w:eastAsia="Microsoft JhengHei" w:hint="eastAsia"/>
          <w:b/>
          <w:color w:val="FF0000"/>
          <w:sz w:val="24"/>
        </w:rPr>
        <w:t>附注</w:t>
      </w:r>
    </w:p>
    <w:p>
      <w:pPr>
        <w:pStyle w:val="ListParagraph"/>
        <w:numPr>
          <w:ilvl w:val="0"/>
          <w:numId w:val="8"/>
        </w:numPr>
        <w:tabs>
          <w:tab w:pos="525" w:val="left" w:leader="none"/>
        </w:tabs>
        <w:spacing w:line="240" w:lineRule="auto" w:before="106" w:after="0"/>
        <w:ind w:left="524" w:right="0" w:hanging="305"/>
        <w:jc w:val="left"/>
        <w:rPr>
          <w:sz w:val="24"/>
        </w:rPr>
      </w:pPr>
      <w:r>
        <w:rPr>
          <w:sz w:val="24"/>
        </w:rPr>
        <w:t>企业总体来看，财务报表分析的基本内容，主要包括以下方面（）</w:t>
      </w:r>
    </w:p>
    <w:p>
      <w:pPr>
        <w:pStyle w:val="ListParagraph"/>
        <w:numPr>
          <w:ilvl w:val="1"/>
          <w:numId w:val="8"/>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分析企业的偿债能力</w:t>
      </w:r>
    </w:p>
    <w:p>
      <w:pPr>
        <w:pStyle w:val="ListParagraph"/>
        <w:numPr>
          <w:ilvl w:val="1"/>
          <w:numId w:val="8"/>
        </w:numPr>
        <w:tabs>
          <w:tab w:pos="1019" w:val="left" w:leader="none"/>
        </w:tabs>
        <w:spacing w:line="240" w:lineRule="auto" w:before="26" w:after="0"/>
        <w:ind w:left="1018" w:right="0" w:hanging="319"/>
        <w:jc w:val="left"/>
        <w:rPr>
          <w:rFonts w:ascii="Calibri" w:eastAsia="Calibri"/>
          <w:b/>
          <w:color w:val="FF0000"/>
          <w:sz w:val="24"/>
        </w:rPr>
      </w:pPr>
      <w:r>
        <w:rPr>
          <w:rFonts w:ascii="Microsoft JhengHei" w:eastAsia="Microsoft JhengHei" w:hint="eastAsia"/>
          <w:b/>
          <w:color w:val="FF0000"/>
          <w:sz w:val="24"/>
        </w:rPr>
        <w:t>评价企业的盈利能力</w:t>
      </w:r>
    </w:p>
    <w:p>
      <w:pPr>
        <w:pStyle w:val="ListParagraph"/>
        <w:numPr>
          <w:ilvl w:val="1"/>
          <w:numId w:val="8"/>
        </w:numPr>
        <w:tabs>
          <w:tab w:pos="1012" w:val="left" w:leader="none"/>
        </w:tabs>
        <w:spacing w:line="240" w:lineRule="auto" w:before="27" w:after="0"/>
        <w:ind w:left="1011" w:right="0" w:hanging="312"/>
        <w:jc w:val="left"/>
        <w:rPr>
          <w:rFonts w:ascii="Calibri" w:eastAsia="Calibri"/>
          <w:b/>
          <w:color w:val="FF0000"/>
          <w:sz w:val="24"/>
        </w:rPr>
      </w:pPr>
      <w:r>
        <w:rPr>
          <w:rFonts w:ascii="Microsoft JhengHei" w:eastAsia="Microsoft JhengHei" w:hint="eastAsia"/>
          <w:b/>
          <w:color w:val="FF0000"/>
          <w:sz w:val="24"/>
        </w:rPr>
        <w:t>评价企业资产的营运能力</w:t>
      </w:r>
    </w:p>
    <w:p>
      <w:pPr>
        <w:pStyle w:val="ListParagraph"/>
        <w:numPr>
          <w:ilvl w:val="1"/>
          <w:numId w:val="8"/>
        </w:numPr>
        <w:tabs>
          <w:tab w:pos="1029" w:val="left" w:leader="none"/>
        </w:tabs>
        <w:spacing w:line="240" w:lineRule="auto" w:before="106" w:after="0"/>
        <w:ind w:left="1028" w:right="0" w:hanging="329"/>
        <w:jc w:val="left"/>
        <w:rPr>
          <w:rFonts w:ascii="Calibri" w:eastAsia="Calibri"/>
          <w:sz w:val="24"/>
        </w:rPr>
      </w:pPr>
      <w:r>
        <w:rPr>
          <w:sz w:val="24"/>
        </w:rPr>
        <w:t>评价企业的综合能力</w:t>
      </w:r>
    </w:p>
    <w:p>
      <w:pPr>
        <w:pStyle w:val="ListParagraph"/>
        <w:numPr>
          <w:ilvl w:val="0"/>
          <w:numId w:val="8"/>
        </w:numPr>
        <w:tabs>
          <w:tab w:pos="525" w:val="left" w:leader="none"/>
        </w:tabs>
        <w:spacing w:line="240" w:lineRule="auto" w:before="160" w:after="0"/>
        <w:ind w:left="524" w:right="0" w:hanging="305"/>
        <w:jc w:val="left"/>
        <w:rPr>
          <w:sz w:val="24"/>
        </w:rPr>
      </w:pPr>
      <w:r>
        <w:rPr>
          <w:sz w:val="24"/>
        </w:rPr>
        <w:t>偿债能力指标主要是出于资产负债表，主要有（）</w:t>
      </w:r>
    </w:p>
    <w:p>
      <w:pPr>
        <w:pStyle w:val="ListParagraph"/>
        <w:numPr>
          <w:ilvl w:val="1"/>
          <w:numId w:val="8"/>
        </w:numPr>
        <w:tabs>
          <w:tab w:pos="1030" w:val="left" w:leader="none"/>
        </w:tabs>
        <w:spacing w:line="240" w:lineRule="auto" w:before="82" w:after="0"/>
        <w:ind w:left="1029" w:right="0" w:hanging="330"/>
        <w:jc w:val="left"/>
        <w:rPr>
          <w:rFonts w:ascii="Calibri" w:eastAsia="Calibri"/>
          <w:b/>
          <w:color w:val="FF0000"/>
          <w:sz w:val="24"/>
        </w:rPr>
      </w:pPr>
      <w:r>
        <w:rPr>
          <w:rFonts w:ascii="Microsoft JhengHei" w:eastAsia="Microsoft JhengHei" w:hint="eastAsia"/>
          <w:b/>
          <w:color w:val="FF0000"/>
          <w:sz w:val="24"/>
        </w:rPr>
        <w:t>现金流量与流动负债之比</w:t>
      </w:r>
    </w:p>
    <w:p>
      <w:pPr>
        <w:spacing w:after="0" w:line="240" w:lineRule="auto"/>
        <w:jc w:val="left"/>
        <w:rPr>
          <w:rFonts w:ascii="Calibri" w:eastAsia="Calibri"/>
          <w:sz w:val="24"/>
        </w:rPr>
        <w:sectPr>
          <w:pgSz w:w="11910" w:h="16840"/>
          <w:pgMar w:top="1460" w:bottom="280" w:left="1580" w:right="1060"/>
        </w:sectPr>
      </w:pPr>
    </w:p>
    <w:p>
      <w:pPr>
        <w:pStyle w:val="ListParagraph"/>
        <w:numPr>
          <w:ilvl w:val="1"/>
          <w:numId w:val="8"/>
        </w:numPr>
        <w:tabs>
          <w:tab w:pos="1019" w:val="left" w:leader="none"/>
        </w:tabs>
        <w:spacing w:line="406" w:lineRule="exact" w:before="0" w:after="0"/>
        <w:ind w:left="1018" w:right="0" w:hanging="319"/>
        <w:jc w:val="left"/>
        <w:rPr>
          <w:rFonts w:ascii="Calibri" w:eastAsia="Calibri"/>
          <w:b/>
          <w:color w:val="FF0000"/>
          <w:sz w:val="24"/>
        </w:rPr>
      </w:pPr>
      <w:r>
        <w:rPr>
          <w:rFonts w:ascii="Microsoft JhengHei" w:eastAsia="Microsoft JhengHei" w:hint="eastAsia"/>
          <w:b/>
          <w:color w:val="FF0000"/>
          <w:sz w:val="24"/>
        </w:rPr>
        <w:t>流动比率</w:t>
      </w:r>
    </w:p>
    <w:p>
      <w:pPr>
        <w:pStyle w:val="ListParagraph"/>
        <w:numPr>
          <w:ilvl w:val="1"/>
          <w:numId w:val="8"/>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负债比率</w:t>
      </w:r>
    </w:p>
    <w:p>
      <w:pPr>
        <w:pStyle w:val="ListParagraph"/>
        <w:numPr>
          <w:ilvl w:val="1"/>
          <w:numId w:val="8"/>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权益比率</w:t>
      </w:r>
    </w:p>
    <w:p>
      <w:pPr>
        <w:pStyle w:val="ListParagraph"/>
        <w:numPr>
          <w:ilvl w:val="1"/>
          <w:numId w:val="8"/>
        </w:numPr>
        <w:tabs>
          <w:tab w:pos="1002" w:val="left" w:leader="none"/>
        </w:tabs>
        <w:spacing w:line="240" w:lineRule="auto" w:before="27" w:after="0"/>
        <w:ind w:left="1001" w:right="0" w:hanging="302"/>
        <w:jc w:val="left"/>
        <w:rPr>
          <w:rFonts w:ascii="Calibri" w:eastAsia="Calibri"/>
          <w:b/>
          <w:color w:val="FF0000"/>
          <w:sz w:val="24"/>
        </w:rPr>
      </w:pPr>
      <w:r>
        <w:rPr>
          <w:rFonts w:ascii="Microsoft JhengHei" w:eastAsia="Microsoft JhengHei" w:hint="eastAsia"/>
          <w:b/>
          <w:color w:val="FF0000"/>
          <w:sz w:val="24"/>
        </w:rPr>
        <w:t>速动比率</w:t>
      </w:r>
    </w:p>
    <w:p>
      <w:pPr>
        <w:pStyle w:val="ListParagraph"/>
        <w:numPr>
          <w:ilvl w:val="0"/>
          <w:numId w:val="8"/>
        </w:numPr>
        <w:tabs>
          <w:tab w:pos="525" w:val="left" w:leader="none"/>
        </w:tabs>
        <w:spacing w:line="240" w:lineRule="auto" w:before="106" w:after="0"/>
        <w:ind w:left="524" w:right="0" w:hanging="305"/>
        <w:jc w:val="left"/>
        <w:rPr>
          <w:sz w:val="24"/>
        </w:rPr>
      </w:pPr>
      <w:r>
        <w:rPr>
          <w:sz w:val="24"/>
        </w:rPr>
        <w:t>下列指标中属于盈利能力分析指标的是（</w:t>
      </w:r>
      <w:r>
        <w:rPr>
          <w:spacing w:val="-120"/>
          <w:sz w:val="24"/>
        </w:rPr>
        <w:t>）</w:t>
      </w:r>
      <w:r>
        <w:rPr>
          <w:sz w:val="24"/>
        </w:rPr>
        <w:t>。</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总资产报酬率</w:t>
      </w:r>
    </w:p>
    <w:p>
      <w:pPr>
        <w:pStyle w:val="ListParagraph"/>
        <w:numPr>
          <w:ilvl w:val="1"/>
          <w:numId w:val="8"/>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成本费用利润率</w:t>
      </w:r>
    </w:p>
    <w:p>
      <w:pPr>
        <w:pStyle w:val="ListParagraph"/>
        <w:numPr>
          <w:ilvl w:val="1"/>
          <w:numId w:val="8"/>
        </w:numPr>
        <w:tabs>
          <w:tab w:pos="1009" w:val="left" w:leader="none"/>
        </w:tabs>
        <w:spacing w:line="240" w:lineRule="auto" w:before="105" w:after="0"/>
        <w:ind w:left="1008" w:right="0" w:hanging="309"/>
        <w:jc w:val="left"/>
        <w:rPr>
          <w:rFonts w:ascii="Calibri" w:eastAsia="Calibri"/>
          <w:sz w:val="24"/>
        </w:rPr>
      </w:pPr>
      <w:r>
        <w:rPr>
          <w:sz w:val="24"/>
        </w:rPr>
        <w:t>资本保值增值率</w:t>
      </w:r>
    </w:p>
    <w:p>
      <w:pPr>
        <w:pStyle w:val="ListParagraph"/>
        <w:numPr>
          <w:ilvl w:val="1"/>
          <w:numId w:val="8"/>
        </w:numPr>
        <w:tabs>
          <w:tab w:pos="1036" w:val="left" w:leader="none"/>
        </w:tabs>
        <w:spacing w:line="240" w:lineRule="auto" w:before="82" w:after="0"/>
        <w:ind w:left="1035" w:right="0" w:hanging="336"/>
        <w:jc w:val="left"/>
        <w:rPr>
          <w:rFonts w:ascii="Calibri" w:eastAsia="Calibri"/>
          <w:b/>
          <w:color w:val="FF0000"/>
          <w:sz w:val="24"/>
        </w:rPr>
      </w:pPr>
      <w:r>
        <w:rPr>
          <w:rFonts w:ascii="Microsoft JhengHei" w:eastAsia="Microsoft JhengHei" w:hint="eastAsia"/>
          <w:b/>
          <w:color w:val="FF0000"/>
          <w:sz w:val="24"/>
        </w:rPr>
        <w:t>净资产收益率</w:t>
      </w:r>
    </w:p>
    <w:p>
      <w:pPr>
        <w:pStyle w:val="ListParagraph"/>
        <w:numPr>
          <w:ilvl w:val="0"/>
          <w:numId w:val="8"/>
        </w:numPr>
        <w:tabs>
          <w:tab w:pos="525" w:val="left" w:leader="none"/>
        </w:tabs>
        <w:spacing w:line="240" w:lineRule="auto" w:before="106" w:after="0"/>
        <w:ind w:left="524" w:right="0" w:hanging="305"/>
        <w:jc w:val="left"/>
        <w:rPr>
          <w:sz w:val="24"/>
        </w:rPr>
      </w:pPr>
      <w:r>
        <w:rPr>
          <w:sz w:val="24"/>
        </w:rPr>
        <w:t>下列指标中属于营运能力分析指标的是（</w:t>
      </w:r>
      <w:r>
        <w:rPr>
          <w:spacing w:val="-120"/>
          <w:sz w:val="24"/>
        </w:rPr>
        <w:t>）</w:t>
      </w:r>
      <w:r>
        <w:rPr>
          <w:sz w:val="24"/>
        </w:rPr>
        <w:t>。</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流动资产周转率</w:t>
      </w:r>
    </w:p>
    <w:p>
      <w:pPr>
        <w:pStyle w:val="ListParagraph"/>
        <w:numPr>
          <w:ilvl w:val="1"/>
          <w:numId w:val="8"/>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存货周转率</w:t>
      </w:r>
    </w:p>
    <w:p>
      <w:pPr>
        <w:pStyle w:val="ListParagraph"/>
        <w:numPr>
          <w:ilvl w:val="1"/>
          <w:numId w:val="8"/>
        </w:numPr>
        <w:tabs>
          <w:tab w:pos="1009" w:val="left" w:leader="none"/>
        </w:tabs>
        <w:spacing w:line="240" w:lineRule="auto" w:before="105" w:after="0"/>
        <w:ind w:left="1008" w:right="0" w:hanging="309"/>
        <w:jc w:val="left"/>
        <w:rPr>
          <w:rFonts w:ascii="Calibri" w:eastAsia="Calibri"/>
          <w:sz w:val="24"/>
        </w:rPr>
      </w:pPr>
      <w:r>
        <w:rPr>
          <w:sz w:val="24"/>
        </w:rPr>
        <w:t>资产负债率</w:t>
      </w:r>
    </w:p>
    <w:p>
      <w:pPr>
        <w:pStyle w:val="ListParagraph"/>
        <w:numPr>
          <w:ilvl w:val="1"/>
          <w:numId w:val="8"/>
        </w:numPr>
        <w:tabs>
          <w:tab w:pos="1036" w:val="left" w:leader="none"/>
        </w:tabs>
        <w:spacing w:line="240" w:lineRule="auto" w:before="82" w:after="0"/>
        <w:ind w:left="1035" w:right="0" w:hanging="336"/>
        <w:jc w:val="left"/>
        <w:rPr>
          <w:rFonts w:ascii="Calibri" w:eastAsia="Calibri"/>
          <w:b/>
          <w:color w:val="FF0000"/>
          <w:sz w:val="24"/>
        </w:rPr>
      </w:pPr>
      <w:r>
        <w:rPr>
          <w:rFonts w:ascii="Microsoft JhengHei" w:eastAsia="Microsoft JhengHei" w:hint="eastAsia"/>
          <w:b/>
          <w:color w:val="FF0000"/>
          <w:sz w:val="24"/>
        </w:rPr>
        <w:t>应收账款周转率</w:t>
      </w:r>
    </w:p>
    <w:p>
      <w:pPr>
        <w:pStyle w:val="ListParagraph"/>
        <w:numPr>
          <w:ilvl w:val="0"/>
          <w:numId w:val="8"/>
        </w:numPr>
        <w:tabs>
          <w:tab w:pos="525" w:val="left" w:leader="none"/>
        </w:tabs>
        <w:spacing w:line="240" w:lineRule="auto" w:before="106" w:after="0"/>
        <w:ind w:left="524" w:right="0" w:hanging="305"/>
        <w:jc w:val="left"/>
        <w:rPr>
          <w:sz w:val="24"/>
        </w:rPr>
      </w:pPr>
      <w:r>
        <w:rPr>
          <w:sz w:val="24"/>
        </w:rPr>
        <w:t>财务报表分析的基本方法有几种，具体包括（</w:t>
      </w:r>
      <w:r>
        <w:rPr>
          <w:spacing w:val="-120"/>
          <w:sz w:val="24"/>
        </w:rPr>
        <w:t>）</w:t>
      </w:r>
      <w:r>
        <w:rPr>
          <w:sz w:val="24"/>
        </w:rPr>
        <w:t>。</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趋势分析法</w:t>
      </w:r>
    </w:p>
    <w:p>
      <w:pPr>
        <w:pStyle w:val="ListParagraph"/>
        <w:numPr>
          <w:ilvl w:val="1"/>
          <w:numId w:val="8"/>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因素分析法</w:t>
      </w:r>
    </w:p>
    <w:p>
      <w:pPr>
        <w:pStyle w:val="ListParagraph"/>
        <w:numPr>
          <w:ilvl w:val="1"/>
          <w:numId w:val="8"/>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比率分析法</w:t>
      </w:r>
    </w:p>
    <w:p>
      <w:pPr>
        <w:pStyle w:val="ListParagraph"/>
        <w:numPr>
          <w:ilvl w:val="1"/>
          <w:numId w:val="8"/>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比较分析法</w:t>
      </w:r>
    </w:p>
    <w:p>
      <w:pPr>
        <w:pStyle w:val="ListParagraph"/>
        <w:numPr>
          <w:ilvl w:val="0"/>
          <w:numId w:val="8"/>
        </w:numPr>
        <w:tabs>
          <w:tab w:pos="525" w:val="left" w:leader="none"/>
        </w:tabs>
        <w:spacing w:line="240" w:lineRule="auto" w:before="106" w:after="0"/>
        <w:ind w:left="524" w:right="0" w:hanging="305"/>
        <w:jc w:val="left"/>
        <w:rPr>
          <w:sz w:val="24"/>
        </w:rPr>
      </w:pPr>
      <w:r>
        <w:rPr>
          <w:sz w:val="24"/>
        </w:rPr>
        <w:t>下列资产负债表项目中，属于流动负债项目的是（</w:t>
      </w:r>
      <w:r>
        <w:rPr>
          <w:spacing w:val="-120"/>
          <w:sz w:val="24"/>
        </w:rPr>
        <w:t>）</w:t>
      </w:r>
      <w:r>
        <w:rPr>
          <w:sz w:val="24"/>
        </w:rPr>
        <w:t>。</w:t>
      </w:r>
    </w:p>
    <w:p>
      <w:pPr>
        <w:pStyle w:val="ListParagraph"/>
        <w:numPr>
          <w:ilvl w:val="1"/>
          <w:numId w:val="8"/>
        </w:numPr>
        <w:tabs>
          <w:tab w:pos="1020" w:val="left" w:leader="none"/>
        </w:tabs>
        <w:spacing w:line="240" w:lineRule="auto" w:before="160" w:after="0"/>
        <w:ind w:left="1019" w:right="0" w:hanging="320"/>
        <w:jc w:val="left"/>
        <w:rPr>
          <w:rFonts w:ascii="Calibri" w:eastAsia="Calibri"/>
          <w:sz w:val="24"/>
        </w:rPr>
      </w:pPr>
      <w:r>
        <w:rPr>
          <w:sz w:val="24"/>
        </w:rPr>
        <w:t>长期应付款</w:t>
      </w:r>
    </w:p>
    <w:p>
      <w:pPr>
        <w:pStyle w:val="ListParagraph"/>
        <w:numPr>
          <w:ilvl w:val="1"/>
          <w:numId w:val="8"/>
        </w:numPr>
        <w:tabs>
          <w:tab w:pos="1019" w:val="left" w:leader="none"/>
        </w:tabs>
        <w:spacing w:line="240" w:lineRule="auto" w:before="82" w:after="0"/>
        <w:ind w:left="1018" w:right="0" w:hanging="319"/>
        <w:jc w:val="left"/>
        <w:rPr>
          <w:rFonts w:ascii="Calibri" w:eastAsia="Calibri"/>
          <w:b/>
          <w:color w:val="FF0000"/>
          <w:sz w:val="24"/>
        </w:rPr>
      </w:pPr>
      <w:r>
        <w:rPr>
          <w:rFonts w:ascii="Microsoft JhengHei" w:eastAsia="Microsoft JhengHei" w:hint="eastAsia"/>
          <w:b/>
          <w:color w:val="FF0000"/>
          <w:sz w:val="24"/>
        </w:rPr>
        <w:t>应付票据和应付账款</w:t>
      </w:r>
    </w:p>
    <w:p>
      <w:pPr>
        <w:pStyle w:val="ListParagraph"/>
        <w:numPr>
          <w:ilvl w:val="1"/>
          <w:numId w:val="8"/>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一年内到期的非流动负债</w:t>
      </w:r>
    </w:p>
    <w:p>
      <w:pPr>
        <w:pStyle w:val="ListParagraph"/>
        <w:numPr>
          <w:ilvl w:val="1"/>
          <w:numId w:val="8"/>
        </w:numPr>
        <w:tabs>
          <w:tab w:pos="1036" w:val="left" w:leader="none"/>
        </w:tabs>
        <w:spacing w:line="240" w:lineRule="auto" w:before="27" w:after="0"/>
        <w:ind w:left="1035" w:right="0" w:hanging="336"/>
        <w:jc w:val="left"/>
        <w:rPr>
          <w:rFonts w:ascii="Calibri" w:eastAsia="Calibri"/>
          <w:b/>
          <w:color w:val="FF0000"/>
          <w:sz w:val="24"/>
        </w:rPr>
      </w:pPr>
      <w:r>
        <w:rPr>
          <w:rFonts w:ascii="Microsoft JhengHei" w:eastAsia="Microsoft JhengHei" w:hint="eastAsia"/>
          <w:b/>
          <w:color w:val="FF0000"/>
          <w:sz w:val="24"/>
        </w:rPr>
        <w:t>应交税费</w:t>
      </w:r>
    </w:p>
    <w:p>
      <w:pPr>
        <w:pStyle w:val="ListParagraph"/>
        <w:numPr>
          <w:ilvl w:val="0"/>
          <w:numId w:val="8"/>
        </w:numPr>
        <w:tabs>
          <w:tab w:pos="525" w:val="left" w:leader="none"/>
        </w:tabs>
        <w:spacing w:line="240" w:lineRule="auto" w:before="106" w:after="0"/>
        <w:ind w:left="524" w:right="0" w:hanging="305"/>
        <w:jc w:val="left"/>
        <w:rPr>
          <w:sz w:val="24"/>
        </w:rPr>
      </w:pPr>
      <w:r>
        <w:rPr>
          <w:sz w:val="24"/>
        </w:rPr>
        <w:t>下列说法正确的是（</w:t>
      </w:r>
      <w:r>
        <w:rPr>
          <w:spacing w:val="-120"/>
          <w:sz w:val="24"/>
        </w:rPr>
        <w:t>）</w:t>
      </w:r>
      <w:r>
        <w:rPr>
          <w:sz w:val="24"/>
        </w:rPr>
        <w:t>。</w:t>
      </w:r>
    </w:p>
    <w:p>
      <w:pPr>
        <w:pStyle w:val="ListParagraph"/>
        <w:numPr>
          <w:ilvl w:val="1"/>
          <w:numId w:val="8"/>
        </w:numPr>
        <w:tabs>
          <w:tab w:pos="1030" w:val="left" w:leader="none"/>
        </w:tabs>
        <w:spacing w:line="240" w:lineRule="auto" w:before="81" w:after="0"/>
        <w:ind w:left="1029" w:right="0" w:hanging="330"/>
        <w:jc w:val="left"/>
        <w:rPr>
          <w:rFonts w:ascii="Calibri" w:eastAsia="Calibri"/>
          <w:b/>
          <w:color w:val="FF0000"/>
          <w:sz w:val="24"/>
        </w:rPr>
      </w:pPr>
      <w:r>
        <w:rPr>
          <w:rFonts w:ascii="Microsoft JhengHei" w:eastAsia="Microsoft JhengHei" w:hint="eastAsia"/>
          <w:b/>
          <w:color w:val="FF0000"/>
          <w:sz w:val="24"/>
        </w:rPr>
        <w:t>市盈率是最常用来评估上市公司股价水平是否合理的重要指标</w:t>
      </w:r>
    </w:p>
    <w:p>
      <w:pPr>
        <w:pStyle w:val="ListParagraph"/>
        <w:numPr>
          <w:ilvl w:val="1"/>
          <w:numId w:val="8"/>
        </w:numPr>
        <w:tabs>
          <w:tab w:pos="1019" w:val="left" w:leader="none"/>
        </w:tabs>
        <w:spacing w:line="240" w:lineRule="auto" w:before="27" w:after="0"/>
        <w:ind w:left="1018" w:right="0" w:hanging="319"/>
        <w:jc w:val="left"/>
        <w:rPr>
          <w:rFonts w:ascii="Calibri" w:eastAsia="Calibri"/>
          <w:b/>
          <w:color w:val="FF0000"/>
          <w:sz w:val="24"/>
        </w:rPr>
      </w:pPr>
      <w:r>
        <w:rPr>
          <w:rFonts w:ascii="Microsoft JhengHei" w:eastAsia="Microsoft JhengHei" w:hint="eastAsia"/>
          <w:b/>
          <w:color w:val="FF0000"/>
          <w:sz w:val="24"/>
        </w:rPr>
        <w:t>每股收益是评价上市公司盈利能力的重要指标</w:t>
      </w:r>
    </w:p>
    <w:p>
      <w:pPr>
        <w:pStyle w:val="ListParagraph"/>
        <w:numPr>
          <w:ilvl w:val="1"/>
          <w:numId w:val="8"/>
        </w:numPr>
        <w:tabs>
          <w:tab w:pos="1012" w:val="left" w:leader="none"/>
        </w:tabs>
        <w:spacing w:line="240" w:lineRule="auto" w:before="26" w:after="0"/>
        <w:ind w:left="1011" w:right="0" w:hanging="312"/>
        <w:jc w:val="left"/>
        <w:rPr>
          <w:rFonts w:ascii="Calibri" w:eastAsia="Calibri"/>
          <w:b/>
          <w:color w:val="FF0000"/>
          <w:sz w:val="24"/>
        </w:rPr>
      </w:pPr>
      <w:r>
        <w:rPr>
          <w:rFonts w:ascii="Microsoft JhengHei" w:eastAsia="Microsoft JhengHei" w:hint="eastAsia"/>
          <w:b/>
          <w:color w:val="FF0000"/>
          <w:sz w:val="24"/>
        </w:rPr>
        <w:t>每股净资产是支撑上市公司股票市场价格的重要基础</w:t>
      </w:r>
    </w:p>
    <w:p>
      <w:pPr>
        <w:pStyle w:val="ListParagraph"/>
        <w:numPr>
          <w:ilvl w:val="1"/>
          <w:numId w:val="8"/>
        </w:numPr>
        <w:tabs>
          <w:tab w:pos="1029" w:val="left" w:leader="none"/>
        </w:tabs>
        <w:spacing w:line="240" w:lineRule="auto" w:before="106" w:after="0"/>
        <w:ind w:left="1028" w:right="0" w:hanging="329"/>
        <w:jc w:val="left"/>
        <w:rPr>
          <w:rFonts w:ascii="Calibri" w:eastAsia="Calibri"/>
          <w:sz w:val="24"/>
        </w:rPr>
      </w:pPr>
      <w:r>
        <w:rPr>
          <w:sz w:val="24"/>
        </w:rPr>
        <w:t>一般来说市净率较高的股票，投资价值较高</w:t>
      </w:r>
    </w:p>
    <w:p>
      <w:pPr>
        <w:spacing w:after="0" w:line="240" w:lineRule="auto"/>
        <w:jc w:val="left"/>
        <w:rPr>
          <w:rFonts w:ascii="Calibri" w:eastAsia="Calibri"/>
          <w:sz w:val="24"/>
        </w:rPr>
        <w:sectPr>
          <w:pgSz w:w="11910" w:h="16840"/>
          <w:pgMar w:top="1460" w:bottom="280" w:left="1580" w:right="1060"/>
        </w:sectPr>
      </w:pPr>
    </w:p>
    <w:p>
      <w:pPr>
        <w:spacing w:line="406" w:lineRule="exact" w:before="0"/>
        <w:ind w:left="220" w:right="0" w:firstLine="0"/>
        <w:jc w:val="left"/>
        <w:rPr>
          <w:rFonts w:ascii="Microsoft JhengHei" w:eastAsia="Microsoft JhengHei" w:hint="eastAsia"/>
          <w:b/>
          <w:sz w:val="24"/>
        </w:rPr>
      </w:pPr>
      <w:r>
        <w:rPr>
          <w:rFonts w:ascii="Microsoft JhengHei" w:eastAsia="Microsoft JhengHei" w:hint="eastAsia"/>
          <w:b/>
          <w:sz w:val="24"/>
        </w:rPr>
        <w:t>三、判断题（每题 </w:t>
      </w:r>
      <w:r>
        <w:rPr>
          <w:rFonts w:ascii="Calibri" w:eastAsia="Calibri"/>
          <w:b/>
          <w:sz w:val="24"/>
        </w:rPr>
        <w:t>3</w:t>
      </w:r>
      <w:r>
        <w:rPr>
          <w:rFonts w:ascii="Calibri" w:eastAsia="Calibri"/>
          <w:b/>
          <w:spacing w:val="5"/>
          <w:sz w:val="24"/>
        </w:rPr>
        <w:t> </w:t>
      </w:r>
      <w:r>
        <w:rPr>
          <w:rFonts w:ascii="Microsoft JhengHei" w:eastAsia="Microsoft JhengHei" w:hint="eastAsia"/>
          <w:b/>
          <w:sz w:val="24"/>
        </w:rPr>
        <w:t>分合计 </w:t>
      </w:r>
      <w:r>
        <w:rPr>
          <w:rFonts w:ascii="Calibri" w:eastAsia="Calibri"/>
          <w:b/>
          <w:sz w:val="24"/>
        </w:rPr>
        <w:t>30</w:t>
      </w:r>
      <w:r>
        <w:rPr>
          <w:rFonts w:ascii="Calibri" w:eastAsia="Calibri"/>
          <w:b/>
          <w:spacing w:val="5"/>
          <w:sz w:val="24"/>
        </w:rPr>
        <w:t> </w:t>
      </w:r>
      <w:r>
        <w:rPr>
          <w:rFonts w:ascii="Microsoft JhengHei" w:eastAsia="Microsoft JhengHei" w:hint="eastAsia"/>
          <w:b/>
          <w:sz w:val="24"/>
        </w:rPr>
        <w:t>分）</w:t>
      </w:r>
    </w:p>
    <w:p>
      <w:pPr>
        <w:pStyle w:val="ListParagraph"/>
        <w:numPr>
          <w:ilvl w:val="0"/>
          <w:numId w:val="8"/>
        </w:numPr>
        <w:tabs>
          <w:tab w:pos="1007" w:val="left" w:leader="none"/>
        </w:tabs>
        <w:spacing w:line="364" w:lineRule="auto" w:before="106" w:after="0"/>
        <w:ind w:left="220" w:right="737" w:firstLine="480"/>
        <w:jc w:val="both"/>
        <w:rPr>
          <w:sz w:val="24"/>
        </w:rPr>
      </w:pPr>
      <w:r>
        <w:rPr>
          <w:sz w:val="24"/>
        </w:rPr>
        <w:t>财务报表应是以会计准则为规范编制的，以经济数据为表述结果的，向</w:t>
      </w:r>
      <w:r>
        <w:rPr>
          <w:spacing w:val="-3"/>
          <w:sz w:val="24"/>
        </w:rPr>
        <w:t>所有者、债权人、政府及其他有关各方及社会公众等财务会计报告使用者，反映</w:t>
      </w:r>
      <w:r>
        <w:rPr>
          <w:spacing w:val="-4"/>
          <w:sz w:val="24"/>
        </w:rPr>
        <w:t>会计主体财务状况和经营成果和现金流量的系列表格与文字说明等。</w:t>
      </w:r>
      <w:r>
        <w:rPr>
          <w:sz w:val="24"/>
        </w:rPr>
        <w:t>（√）</w:t>
      </w:r>
    </w:p>
    <w:p>
      <w:pPr>
        <w:pStyle w:val="ListParagraph"/>
        <w:numPr>
          <w:ilvl w:val="0"/>
          <w:numId w:val="8"/>
        </w:numPr>
        <w:tabs>
          <w:tab w:pos="1005" w:val="left" w:leader="none"/>
        </w:tabs>
        <w:spacing w:line="240" w:lineRule="auto" w:before="1" w:after="0"/>
        <w:ind w:left="1004" w:right="0" w:hanging="305"/>
        <w:jc w:val="left"/>
        <w:rPr>
          <w:sz w:val="24"/>
        </w:rPr>
      </w:pPr>
      <w:r>
        <w:rPr>
          <w:sz w:val="24"/>
        </w:rPr>
        <w:t>企业应当按照权责发生制原则编制所有的财务报表。</w:t>
      </w:r>
    </w:p>
    <w:p>
      <w:pPr>
        <w:pStyle w:val="ListParagraph"/>
        <w:numPr>
          <w:ilvl w:val="0"/>
          <w:numId w:val="8"/>
        </w:numPr>
        <w:tabs>
          <w:tab w:pos="1007" w:val="left" w:leader="none"/>
        </w:tabs>
        <w:spacing w:line="364" w:lineRule="auto" w:before="161" w:after="0"/>
        <w:ind w:left="220" w:right="738" w:firstLine="480"/>
        <w:jc w:val="left"/>
        <w:rPr>
          <w:sz w:val="24"/>
        </w:rPr>
      </w:pPr>
      <w:r>
        <w:rPr>
          <w:sz w:val="24"/>
        </w:rPr>
        <w:t>资产负债表是反映企业在某一特定日期（如月末、季末、年末）全部资产、负债和所有者权益情况的动态报表。</w:t>
      </w:r>
    </w:p>
    <w:p>
      <w:pPr>
        <w:pStyle w:val="ListParagraph"/>
        <w:numPr>
          <w:ilvl w:val="0"/>
          <w:numId w:val="8"/>
        </w:numPr>
        <w:tabs>
          <w:tab w:pos="1007" w:val="left" w:leader="none"/>
        </w:tabs>
        <w:spacing w:line="364" w:lineRule="auto" w:before="1" w:after="0"/>
        <w:ind w:left="220" w:right="739" w:firstLine="480"/>
        <w:jc w:val="both"/>
        <w:rPr>
          <w:sz w:val="24"/>
        </w:rPr>
      </w:pPr>
      <w:r>
        <w:rPr>
          <w:sz w:val="24"/>
        </w:rPr>
        <w:t>基本每股收益是当期取得的税后净利润与全部发行在外的股份数相比的</w:t>
      </w:r>
      <w:r>
        <w:rPr>
          <w:spacing w:val="-3"/>
          <w:sz w:val="24"/>
        </w:rPr>
        <w:t>相对数指标。其计算公式为：基本每股收益＝普通股股东的报告期净利润÷发行</w:t>
      </w:r>
      <w:r>
        <w:rPr>
          <w:spacing w:val="-10"/>
          <w:sz w:val="24"/>
        </w:rPr>
        <w:t>在外普通股的加权平均数。</w:t>
      </w:r>
      <w:r>
        <w:rPr>
          <w:sz w:val="24"/>
        </w:rPr>
        <w:t>（√）</w:t>
      </w:r>
    </w:p>
    <w:p>
      <w:pPr>
        <w:pStyle w:val="ListParagraph"/>
        <w:numPr>
          <w:ilvl w:val="0"/>
          <w:numId w:val="8"/>
        </w:numPr>
        <w:tabs>
          <w:tab w:pos="1007" w:val="left" w:leader="none"/>
        </w:tabs>
        <w:spacing w:line="364" w:lineRule="auto" w:before="2" w:after="0"/>
        <w:ind w:left="220" w:right="498" w:firstLine="480"/>
        <w:jc w:val="left"/>
        <w:rPr>
          <w:sz w:val="24"/>
        </w:rPr>
      </w:pPr>
      <w:r>
        <w:rPr>
          <w:sz w:val="24"/>
        </w:rPr>
        <w:t>因素分析法是通过分析影响财务指标的各项因素及其对指标的影响程度，</w:t>
      </w:r>
      <w:r>
        <w:rPr>
          <w:spacing w:val="-117"/>
          <w:sz w:val="24"/>
        </w:rPr>
        <w:t> </w:t>
      </w:r>
      <w:r>
        <w:rPr>
          <w:sz w:val="24"/>
        </w:rPr>
        <w:t>说明本期实际与计划或基期相比较发生变动的主要原因以及各变动因素对财务</w:t>
      </w:r>
      <w:r>
        <w:rPr>
          <w:spacing w:val="33"/>
          <w:sz w:val="24"/>
        </w:rPr>
        <w:t> </w:t>
      </w:r>
      <w:r>
        <w:rPr>
          <w:spacing w:val="-8"/>
          <w:sz w:val="24"/>
        </w:rPr>
        <w:t>指标变动的影响程度的一种分析方法。</w:t>
      </w:r>
      <w:r>
        <w:rPr>
          <w:sz w:val="24"/>
        </w:rPr>
        <w:t>（√）</w:t>
      </w:r>
    </w:p>
    <w:p>
      <w:pPr>
        <w:pStyle w:val="ListParagraph"/>
        <w:numPr>
          <w:ilvl w:val="0"/>
          <w:numId w:val="8"/>
        </w:numPr>
        <w:tabs>
          <w:tab w:pos="1005" w:val="left" w:leader="none"/>
        </w:tabs>
        <w:spacing w:line="364" w:lineRule="auto" w:before="2" w:after="0"/>
        <w:ind w:left="220" w:right="737" w:firstLine="480"/>
        <w:jc w:val="left"/>
        <w:rPr>
          <w:sz w:val="24"/>
        </w:rPr>
      </w:pPr>
      <w:r>
        <w:rPr>
          <w:spacing w:val="-14"/>
          <w:sz w:val="24"/>
        </w:rPr>
        <w:t>经济增加值。即 </w:t>
      </w:r>
      <w:r>
        <w:rPr>
          <w:rFonts w:ascii="Calibri" w:hAnsi="Calibri" w:eastAsia="Calibri"/>
          <w:spacing w:val="-1"/>
          <w:sz w:val="24"/>
        </w:rPr>
        <w:t>E</w:t>
      </w:r>
      <w:r>
        <w:rPr>
          <w:rFonts w:ascii="Calibri" w:hAnsi="Calibri" w:eastAsia="Calibri"/>
          <w:sz w:val="24"/>
        </w:rPr>
        <w:t>V</w:t>
      </w:r>
      <w:r>
        <w:rPr>
          <w:rFonts w:ascii="Calibri" w:hAnsi="Calibri" w:eastAsia="Calibri"/>
          <w:spacing w:val="-1"/>
          <w:sz w:val="24"/>
        </w:rPr>
        <w:t>A</w:t>
      </w:r>
      <w:r>
        <w:rPr>
          <w:sz w:val="24"/>
        </w:rPr>
        <w:t>（</w:t>
      </w:r>
      <w:r>
        <w:rPr>
          <w:rFonts w:ascii="Calibri" w:hAnsi="Calibri" w:eastAsia="Calibri"/>
          <w:spacing w:val="-1"/>
          <w:sz w:val="24"/>
        </w:rPr>
        <w:t>Eco</w:t>
      </w:r>
      <w:r>
        <w:rPr>
          <w:rFonts w:ascii="Calibri" w:hAnsi="Calibri" w:eastAsia="Calibri"/>
          <w:sz w:val="24"/>
        </w:rPr>
        <w:t>n</w:t>
      </w:r>
      <w:r>
        <w:rPr>
          <w:rFonts w:ascii="Calibri" w:hAnsi="Calibri" w:eastAsia="Calibri"/>
          <w:spacing w:val="-1"/>
          <w:sz w:val="24"/>
        </w:rPr>
        <w:t>om</w:t>
      </w:r>
      <w:r>
        <w:rPr>
          <w:rFonts w:ascii="Calibri" w:hAnsi="Calibri" w:eastAsia="Calibri"/>
          <w:sz w:val="24"/>
        </w:rPr>
        <w:t>ic </w:t>
      </w:r>
      <w:r>
        <w:rPr>
          <w:rFonts w:ascii="Calibri" w:hAnsi="Calibri" w:eastAsia="Calibri"/>
          <w:spacing w:val="-1"/>
          <w:sz w:val="24"/>
        </w:rPr>
        <w:t>Va</w:t>
      </w:r>
      <w:r>
        <w:rPr>
          <w:rFonts w:ascii="Calibri" w:hAnsi="Calibri" w:eastAsia="Calibri"/>
          <w:sz w:val="24"/>
        </w:rPr>
        <w:t>l</w:t>
      </w:r>
      <w:r>
        <w:rPr>
          <w:rFonts w:ascii="Calibri" w:hAnsi="Calibri" w:eastAsia="Calibri"/>
          <w:spacing w:val="-1"/>
          <w:sz w:val="24"/>
        </w:rPr>
        <w:t>u</w:t>
      </w:r>
      <w:r>
        <w:rPr>
          <w:rFonts w:ascii="Calibri" w:hAnsi="Calibri" w:eastAsia="Calibri"/>
          <w:sz w:val="24"/>
        </w:rPr>
        <w:t>e Adde</w:t>
      </w:r>
      <w:r>
        <w:rPr>
          <w:rFonts w:ascii="Calibri" w:hAnsi="Calibri" w:eastAsia="Calibri"/>
          <w:spacing w:val="-1"/>
          <w:sz w:val="24"/>
        </w:rPr>
        <w:t>d</w:t>
      </w:r>
      <w:r>
        <w:rPr>
          <w:spacing w:val="-120"/>
          <w:sz w:val="24"/>
        </w:rPr>
        <w:t>）</w:t>
      </w:r>
      <w:r>
        <w:rPr>
          <w:spacing w:val="-7"/>
          <w:sz w:val="24"/>
        </w:rPr>
        <w:t>，指从税后净营业利润中扣</w:t>
      </w:r>
      <w:r>
        <w:rPr>
          <w:spacing w:val="-6"/>
          <w:sz w:val="24"/>
        </w:rPr>
        <w:t>除包括股权和债务的全部投入资本成本后的所得。</w:t>
      </w:r>
      <w:r>
        <w:rPr>
          <w:sz w:val="24"/>
        </w:rPr>
        <w:t>（√）</w:t>
      </w:r>
    </w:p>
    <w:p>
      <w:pPr>
        <w:pStyle w:val="ListParagraph"/>
        <w:numPr>
          <w:ilvl w:val="0"/>
          <w:numId w:val="8"/>
        </w:numPr>
        <w:tabs>
          <w:tab w:pos="1006" w:val="left" w:leader="none"/>
        </w:tabs>
        <w:spacing w:line="364" w:lineRule="auto" w:before="1" w:after="0"/>
        <w:ind w:left="220" w:right="378" w:firstLine="480"/>
        <w:jc w:val="left"/>
        <w:rPr>
          <w:sz w:val="24"/>
        </w:rPr>
      </w:pPr>
      <w:r>
        <w:rPr>
          <w:spacing w:val="3"/>
          <w:sz w:val="24"/>
        </w:rPr>
        <w:t>市盈率，即 </w:t>
      </w:r>
      <w:r>
        <w:rPr>
          <w:rFonts w:ascii="Calibri" w:eastAsia="Calibri"/>
          <w:sz w:val="24"/>
        </w:rPr>
        <w:t>P/E</w:t>
      </w:r>
      <w:r>
        <w:rPr>
          <w:rFonts w:ascii="Calibri" w:eastAsia="Calibri"/>
          <w:spacing w:val="14"/>
          <w:sz w:val="24"/>
        </w:rPr>
        <w:t>   </w:t>
      </w:r>
      <w:r>
        <w:rPr>
          <w:sz w:val="24"/>
        </w:rPr>
        <w:t>，由股价除以年度每股收益得出（以公司市值除以年度股</w:t>
      </w:r>
      <w:r>
        <w:rPr>
          <w:spacing w:val="4"/>
          <w:sz w:val="24"/>
        </w:rPr>
        <w:t>东税后利润也可得出相同结果</w:t>
      </w:r>
      <w:r>
        <w:rPr>
          <w:spacing w:val="-116"/>
          <w:sz w:val="24"/>
        </w:rPr>
        <w:t>）</w:t>
      </w:r>
      <w:r>
        <w:rPr>
          <w:spacing w:val="3"/>
          <w:sz w:val="24"/>
        </w:rPr>
        <w:t>，最常用来评估股价水平是否合理的重要指标。</w:t>
      </w:r>
    </w:p>
    <w:p>
      <w:pPr>
        <w:spacing w:before="1"/>
        <w:ind w:left="220" w:right="0" w:firstLine="0"/>
        <w:jc w:val="left"/>
        <w:rPr>
          <w:sz w:val="24"/>
        </w:rPr>
      </w:pPr>
      <w:r>
        <w:rPr>
          <w:sz w:val="24"/>
        </w:rPr>
        <w:t>（√）</w:t>
      </w:r>
    </w:p>
    <w:p>
      <w:pPr>
        <w:pStyle w:val="ListParagraph"/>
        <w:numPr>
          <w:ilvl w:val="0"/>
          <w:numId w:val="8"/>
        </w:numPr>
        <w:tabs>
          <w:tab w:pos="1007" w:val="left" w:leader="none"/>
        </w:tabs>
        <w:spacing w:line="364" w:lineRule="auto" w:before="161" w:after="0"/>
        <w:ind w:left="220" w:right="738" w:firstLine="480"/>
        <w:jc w:val="left"/>
        <w:rPr>
          <w:sz w:val="24"/>
        </w:rPr>
      </w:pPr>
      <w:r>
        <w:rPr>
          <w:sz w:val="24"/>
        </w:rPr>
        <w:t>存货周转率是企业一定时期收入与平均存货余额的比率。存货周转率用</w:t>
      </w:r>
      <w:r>
        <w:rPr>
          <w:spacing w:val="-11"/>
          <w:sz w:val="24"/>
        </w:rPr>
        <w:t>于反映存货的周转速度。</w:t>
      </w:r>
      <w:r>
        <w:rPr>
          <w:sz w:val="24"/>
        </w:rPr>
        <w:t>（√）</w:t>
      </w:r>
    </w:p>
    <w:p>
      <w:pPr>
        <w:pStyle w:val="ListParagraph"/>
        <w:numPr>
          <w:ilvl w:val="0"/>
          <w:numId w:val="8"/>
        </w:numPr>
        <w:tabs>
          <w:tab w:pos="1007" w:val="left" w:leader="none"/>
        </w:tabs>
        <w:spacing w:line="364" w:lineRule="auto" w:before="1" w:after="0"/>
        <w:ind w:left="220" w:right="738" w:firstLine="480"/>
        <w:jc w:val="left"/>
        <w:rPr>
          <w:sz w:val="24"/>
        </w:rPr>
      </w:pPr>
      <w:r>
        <w:rPr>
          <w:sz w:val="24"/>
        </w:rPr>
        <w:t>现金等价物，则是指企业持有的期限短、流动性强、易于转换为已知金</w:t>
      </w:r>
      <w:r>
        <w:rPr>
          <w:spacing w:val="-8"/>
          <w:sz w:val="24"/>
        </w:rPr>
        <w:t>额现金、价值变动风险很小的投资。</w:t>
      </w:r>
      <w:r>
        <w:rPr>
          <w:sz w:val="24"/>
        </w:rPr>
        <w:t>（√）</w:t>
      </w:r>
    </w:p>
    <w:p>
      <w:pPr>
        <w:pStyle w:val="ListParagraph"/>
        <w:numPr>
          <w:ilvl w:val="0"/>
          <w:numId w:val="8"/>
        </w:numPr>
        <w:tabs>
          <w:tab w:pos="1007" w:val="left" w:leader="none"/>
        </w:tabs>
        <w:spacing w:line="364" w:lineRule="auto" w:before="1" w:after="0"/>
        <w:ind w:left="220" w:right="738" w:firstLine="480"/>
        <w:jc w:val="left"/>
        <w:rPr>
          <w:sz w:val="24"/>
        </w:rPr>
      </w:pPr>
      <w:r>
        <w:rPr>
          <w:sz w:val="24"/>
        </w:rPr>
        <w:t>财务报表项目的列报应当在各个会计期间保持一致，不得随意变更。这</w:t>
      </w:r>
      <w:r>
        <w:rPr>
          <w:spacing w:val="-6"/>
          <w:sz w:val="24"/>
        </w:rPr>
        <w:t>是要求财务报表的列报应遵守的一致性原则。</w:t>
      </w:r>
      <w:r>
        <w:rPr>
          <w:sz w:val="24"/>
        </w:rPr>
        <w:t>（√）</w:t>
      </w:r>
    </w:p>
    <w:p>
      <w:pPr>
        <w:spacing w:line="363" w:lineRule="exact" w:before="0"/>
        <w:ind w:left="220" w:right="0" w:firstLine="0"/>
        <w:jc w:val="left"/>
        <w:rPr>
          <w:rFonts w:ascii="Microsoft JhengHei" w:eastAsia="Microsoft JhengHei" w:hint="eastAsia"/>
          <w:b/>
          <w:sz w:val="24"/>
        </w:rPr>
      </w:pPr>
      <w:r>
        <w:rPr>
          <w:rFonts w:ascii="Microsoft JhengHei" w:eastAsia="Microsoft JhengHei" w:hint="eastAsia"/>
          <w:b/>
          <w:sz w:val="24"/>
        </w:rPr>
        <w:t>四、计算分析选择题（每题 </w:t>
      </w:r>
      <w:r>
        <w:rPr>
          <w:rFonts w:ascii="Calibri" w:eastAsia="Calibri"/>
          <w:b/>
          <w:sz w:val="24"/>
        </w:rPr>
        <w:t>5</w:t>
      </w:r>
      <w:r>
        <w:rPr>
          <w:rFonts w:ascii="Calibri" w:eastAsia="Calibri"/>
          <w:b/>
          <w:spacing w:val="5"/>
          <w:sz w:val="24"/>
        </w:rPr>
        <w:t> </w:t>
      </w:r>
      <w:r>
        <w:rPr>
          <w:rFonts w:ascii="Microsoft JhengHei" w:eastAsia="Microsoft JhengHei" w:hint="eastAsia"/>
          <w:b/>
          <w:sz w:val="24"/>
        </w:rPr>
        <w:t>分</w:t>
      </w:r>
      <w:r>
        <w:rPr>
          <w:rFonts w:ascii="Calibri" w:eastAsia="Calibri"/>
          <w:b/>
          <w:sz w:val="24"/>
        </w:rPr>
        <w:t>,</w:t>
      </w:r>
      <w:r>
        <w:rPr>
          <w:rFonts w:ascii="Microsoft JhengHei" w:eastAsia="Microsoft JhengHei" w:hint="eastAsia"/>
          <w:b/>
          <w:sz w:val="24"/>
        </w:rPr>
        <w:t>合计 </w:t>
      </w:r>
      <w:r>
        <w:rPr>
          <w:rFonts w:ascii="Calibri" w:eastAsia="Calibri"/>
          <w:b/>
          <w:sz w:val="24"/>
        </w:rPr>
        <w:t>10</w:t>
      </w:r>
      <w:r>
        <w:rPr>
          <w:rFonts w:ascii="Calibri" w:eastAsia="Calibri"/>
          <w:b/>
          <w:spacing w:val="6"/>
          <w:sz w:val="24"/>
        </w:rPr>
        <w:t> </w:t>
      </w:r>
      <w:r>
        <w:rPr>
          <w:rFonts w:ascii="Microsoft JhengHei" w:eastAsia="Microsoft JhengHei" w:hint="eastAsia"/>
          <w:b/>
          <w:sz w:val="24"/>
        </w:rPr>
        <w:t>分</w:t>
      </w:r>
      <w:r>
        <w:rPr>
          <w:rFonts w:ascii="Microsoft JhengHei" w:eastAsia="Microsoft JhengHei" w:hint="eastAsia"/>
          <w:b/>
          <w:spacing w:val="-120"/>
          <w:sz w:val="24"/>
        </w:rPr>
        <w:t>）</w:t>
      </w:r>
      <w:r>
        <w:rPr>
          <w:rFonts w:ascii="Microsoft JhengHei" w:eastAsia="Microsoft JhengHei" w:hint="eastAsia"/>
          <w:b/>
          <w:sz w:val="24"/>
        </w:rPr>
        <w:t>。</w:t>
      </w:r>
    </w:p>
    <w:p>
      <w:pPr>
        <w:pStyle w:val="ListParagraph"/>
        <w:numPr>
          <w:ilvl w:val="0"/>
          <w:numId w:val="8"/>
        </w:numPr>
        <w:tabs>
          <w:tab w:pos="1004" w:val="left" w:leader="none"/>
        </w:tabs>
        <w:spacing w:line="254" w:lineRule="auto" w:before="27" w:after="0"/>
        <w:ind w:left="220" w:right="737" w:firstLine="480"/>
        <w:jc w:val="left"/>
        <w:rPr>
          <w:sz w:val="24"/>
        </w:rPr>
      </w:pPr>
      <w:r>
        <w:rPr>
          <w:rFonts w:ascii="Calibri" w:eastAsia="Calibri"/>
          <w:sz w:val="24"/>
        </w:rPr>
        <w:t>A</w:t>
      </w:r>
      <w:r>
        <w:rPr>
          <w:rFonts w:ascii="Calibri" w:eastAsia="Calibri"/>
          <w:spacing w:val="5"/>
          <w:sz w:val="24"/>
        </w:rPr>
        <w:t> </w:t>
      </w:r>
      <w:r>
        <w:rPr>
          <w:spacing w:val="-6"/>
          <w:sz w:val="24"/>
        </w:rPr>
        <w:t>公司相关财务报表数据如下，计算 </w:t>
      </w:r>
      <w:r>
        <w:rPr>
          <w:rFonts w:ascii="Calibri" w:eastAsia="Calibri"/>
          <w:sz w:val="24"/>
        </w:rPr>
        <w:t>A</w:t>
      </w:r>
      <w:r>
        <w:rPr>
          <w:rFonts w:ascii="Calibri" w:eastAsia="Calibri"/>
          <w:spacing w:val="5"/>
          <w:sz w:val="24"/>
        </w:rPr>
        <w:t> </w:t>
      </w:r>
      <w:r>
        <w:rPr>
          <w:spacing w:val="-4"/>
          <w:sz w:val="24"/>
        </w:rPr>
        <w:t>公司的流动比率</w:t>
      </w:r>
      <w:r>
        <w:rPr>
          <w:rFonts w:ascii="Microsoft JhengHei" w:eastAsia="Microsoft JhengHei" w:hint="eastAsia"/>
          <w:b/>
          <w:color w:val="FF0000"/>
          <w:sz w:val="24"/>
        </w:rPr>
        <w:t>（</w:t>
      </w:r>
      <w:r>
        <w:rPr>
          <w:rFonts w:ascii="Calibri" w:eastAsia="Calibri"/>
          <w:b/>
          <w:color w:val="FF0000"/>
          <w:sz w:val="24"/>
        </w:rPr>
        <w:t>205</w:t>
      </w:r>
      <w:r>
        <w:rPr>
          <w:rFonts w:ascii="Calibri" w:eastAsia="Calibri"/>
          <w:b/>
          <w:color w:val="FF0000"/>
          <w:spacing w:val="-1"/>
          <w:sz w:val="24"/>
        </w:rPr>
        <w:t>%</w:t>
      </w:r>
      <w:r>
        <w:rPr>
          <w:rFonts w:ascii="Microsoft JhengHei" w:eastAsia="Microsoft JhengHei" w:hint="eastAsia"/>
          <w:b/>
          <w:color w:val="FF0000"/>
          <w:spacing w:val="-120"/>
          <w:sz w:val="24"/>
        </w:rPr>
        <w:t>）</w:t>
      </w:r>
      <w:r>
        <w:rPr>
          <w:spacing w:val="-10"/>
          <w:sz w:val="24"/>
        </w:rPr>
        <w:t>，速动比</w:t>
      </w:r>
      <w:r>
        <w:rPr>
          <w:sz w:val="24"/>
        </w:rPr>
        <w:t>率</w:t>
      </w:r>
      <w:r>
        <w:rPr>
          <w:rFonts w:ascii="Microsoft JhengHei" w:eastAsia="Microsoft JhengHei" w:hint="eastAsia"/>
          <w:b/>
          <w:color w:val="FF0000"/>
          <w:sz w:val="24"/>
        </w:rPr>
        <w:t>（</w:t>
      </w:r>
      <w:r>
        <w:rPr>
          <w:rFonts w:ascii="Calibri" w:eastAsia="Calibri"/>
          <w:b/>
          <w:color w:val="FF0000"/>
          <w:sz w:val="24"/>
        </w:rPr>
        <w:t>105</w:t>
      </w:r>
      <w:r>
        <w:rPr>
          <w:rFonts w:ascii="Calibri" w:eastAsia="Calibri"/>
          <w:b/>
          <w:color w:val="FF0000"/>
          <w:spacing w:val="-1"/>
          <w:sz w:val="24"/>
        </w:rPr>
        <w:t>%</w:t>
      </w:r>
      <w:r>
        <w:rPr>
          <w:rFonts w:ascii="Microsoft JhengHei" w:eastAsia="Microsoft JhengHei" w:hint="eastAsia"/>
          <w:b/>
          <w:color w:val="FF0000"/>
          <w:spacing w:val="-120"/>
          <w:sz w:val="24"/>
        </w:rPr>
        <w:t>）</w:t>
      </w:r>
      <w:r>
        <w:rPr>
          <w:sz w:val="24"/>
        </w:rPr>
        <w:t>。</w:t>
      </w:r>
    </w:p>
    <w:p>
      <w:pPr>
        <w:tabs>
          <w:tab w:pos="3694" w:val="left" w:leader="none"/>
        </w:tabs>
        <w:spacing w:before="0" w:after="24"/>
        <w:ind w:left="0" w:right="518" w:firstLine="0"/>
        <w:jc w:val="center"/>
        <w:rPr>
          <w:rFonts w:ascii="Microsoft JhengHei" w:eastAsia="Microsoft JhengHei" w:hint="eastAsia"/>
          <w:b/>
          <w:sz w:val="24"/>
        </w:rPr>
      </w:pPr>
      <w:r>
        <w:rPr>
          <w:rFonts w:ascii="Calibri" w:eastAsia="Calibri"/>
          <w:b/>
          <w:sz w:val="24"/>
        </w:rPr>
        <w:t>A</w:t>
      </w:r>
      <w:r>
        <w:rPr>
          <w:rFonts w:ascii="Calibri" w:eastAsia="Calibri"/>
          <w:b/>
          <w:spacing w:val="5"/>
          <w:sz w:val="24"/>
        </w:rPr>
        <w:t> </w:t>
      </w:r>
      <w:r>
        <w:rPr>
          <w:rFonts w:ascii="Microsoft JhengHei" w:eastAsia="Microsoft JhengHei" w:hint="eastAsia"/>
          <w:b/>
          <w:sz w:val="24"/>
        </w:rPr>
        <w:t>公司财务报表相关数据</w:t>
        <w:tab/>
        <w:t>单位：元</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314"/>
        <w:gridCol w:w="1314"/>
        <w:gridCol w:w="1908"/>
        <w:gridCol w:w="1276"/>
        <w:gridCol w:w="1276"/>
      </w:tblGrid>
      <w:tr>
        <w:trPr>
          <w:trHeight w:val="467" w:hRule="atLeast"/>
        </w:trPr>
        <w:tc>
          <w:tcPr>
            <w:tcW w:w="1951" w:type="dxa"/>
          </w:tcPr>
          <w:p>
            <w:pPr>
              <w:pStyle w:val="TableParagraph"/>
              <w:spacing w:before="82"/>
              <w:ind w:left="133" w:right="123"/>
              <w:jc w:val="center"/>
              <w:rPr>
                <w:rFonts w:ascii="宋体" w:eastAsia="宋体" w:hint="eastAsia"/>
                <w:sz w:val="24"/>
              </w:rPr>
            </w:pPr>
            <w:r>
              <w:rPr>
                <w:rFonts w:ascii="宋体" w:eastAsia="宋体" w:hint="eastAsia"/>
                <w:sz w:val="24"/>
              </w:rPr>
              <w:t>项目</w:t>
            </w:r>
          </w:p>
        </w:tc>
        <w:tc>
          <w:tcPr>
            <w:tcW w:w="1314" w:type="dxa"/>
          </w:tcPr>
          <w:p>
            <w:pPr>
              <w:pStyle w:val="TableParagraph"/>
              <w:spacing w:before="82"/>
              <w:ind w:left="177"/>
              <w:rPr>
                <w:rFonts w:ascii="宋体" w:eastAsia="宋体" w:hint="eastAsia"/>
                <w:sz w:val="24"/>
              </w:rPr>
            </w:pPr>
            <w:r>
              <w:rPr>
                <w:rFonts w:ascii="宋体" w:eastAsia="宋体" w:hint="eastAsia"/>
                <w:sz w:val="24"/>
              </w:rPr>
              <w:t>年末余额</w:t>
            </w:r>
          </w:p>
        </w:tc>
        <w:tc>
          <w:tcPr>
            <w:tcW w:w="1314" w:type="dxa"/>
          </w:tcPr>
          <w:p>
            <w:pPr>
              <w:pStyle w:val="TableParagraph"/>
              <w:spacing w:before="82"/>
              <w:ind w:left="177"/>
              <w:rPr>
                <w:rFonts w:ascii="宋体" w:eastAsia="宋体" w:hint="eastAsia"/>
                <w:sz w:val="24"/>
              </w:rPr>
            </w:pPr>
            <w:r>
              <w:rPr>
                <w:rFonts w:ascii="宋体" w:eastAsia="宋体" w:hint="eastAsia"/>
                <w:sz w:val="24"/>
              </w:rPr>
              <w:t>年初余额</w:t>
            </w:r>
          </w:p>
        </w:tc>
        <w:tc>
          <w:tcPr>
            <w:tcW w:w="1908" w:type="dxa"/>
          </w:tcPr>
          <w:p>
            <w:pPr>
              <w:pStyle w:val="TableParagraph"/>
              <w:spacing w:before="82"/>
              <w:ind w:left="471" w:right="462"/>
              <w:jc w:val="center"/>
              <w:rPr>
                <w:rFonts w:ascii="宋体" w:eastAsia="宋体" w:hint="eastAsia"/>
                <w:sz w:val="24"/>
              </w:rPr>
            </w:pPr>
            <w:r>
              <w:rPr>
                <w:rFonts w:ascii="宋体" w:eastAsia="宋体" w:hint="eastAsia"/>
                <w:sz w:val="24"/>
              </w:rPr>
              <w:t>项目</w:t>
            </w:r>
          </w:p>
        </w:tc>
        <w:tc>
          <w:tcPr>
            <w:tcW w:w="1276" w:type="dxa"/>
          </w:tcPr>
          <w:p>
            <w:pPr>
              <w:pStyle w:val="TableParagraph"/>
              <w:spacing w:before="82"/>
              <w:ind w:left="158"/>
              <w:rPr>
                <w:rFonts w:ascii="宋体" w:eastAsia="宋体" w:hint="eastAsia"/>
                <w:sz w:val="24"/>
              </w:rPr>
            </w:pPr>
            <w:r>
              <w:rPr>
                <w:rFonts w:ascii="宋体" w:eastAsia="宋体" w:hint="eastAsia"/>
                <w:sz w:val="24"/>
              </w:rPr>
              <w:t>年末余额</w:t>
            </w:r>
          </w:p>
        </w:tc>
        <w:tc>
          <w:tcPr>
            <w:tcW w:w="1276" w:type="dxa"/>
          </w:tcPr>
          <w:p>
            <w:pPr>
              <w:pStyle w:val="TableParagraph"/>
              <w:spacing w:before="82"/>
              <w:ind w:left="157"/>
              <w:rPr>
                <w:rFonts w:ascii="宋体" w:eastAsia="宋体" w:hint="eastAsia"/>
                <w:sz w:val="24"/>
              </w:rPr>
            </w:pPr>
            <w:r>
              <w:rPr>
                <w:rFonts w:ascii="宋体" w:eastAsia="宋体" w:hint="eastAsia"/>
                <w:sz w:val="24"/>
              </w:rPr>
              <w:t>年初余额</w:t>
            </w:r>
          </w:p>
        </w:tc>
      </w:tr>
    </w:tbl>
    <w:p>
      <w:pPr>
        <w:spacing w:after="0"/>
        <w:rPr>
          <w:rFonts w:ascii="宋体" w:eastAsia="宋体" w:hint="eastAsia"/>
          <w:sz w:val="24"/>
        </w:rPr>
        <w:sectPr>
          <w:pgSz w:w="11910" w:h="16840"/>
          <w:pgMar w:top="1460" w:bottom="280" w:left="1580" w:right="106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314"/>
        <w:gridCol w:w="1314"/>
        <w:gridCol w:w="1908"/>
        <w:gridCol w:w="1276"/>
        <w:gridCol w:w="1276"/>
      </w:tblGrid>
      <w:tr>
        <w:trPr>
          <w:trHeight w:val="1871" w:hRule="atLeast"/>
        </w:trPr>
        <w:tc>
          <w:tcPr>
            <w:tcW w:w="1951" w:type="dxa"/>
          </w:tcPr>
          <w:p>
            <w:pPr>
              <w:pStyle w:val="TableParagraph"/>
              <w:spacing w:before="82"/>
              <w:ind w:left="133" w:right="123"/>
              <w:jc w:val="center"/>
              <w:rPr>
                <w:rFonts w:ascii="宋体" w:eastAsia="宋体" w:hint="eastAsia"/>
                <w:sz w:val="24"/>
              </w:rPr>
            </w:pPr>
            <w:r>
              <w:rPr>
                <w:rFonts w:ascii="宋体" w:eastAsia="宋体" w:hint="eastAsia"/>
                <w:sz w:val="24"/>
              </w:rPr>
              <w:t>货币资金</w:t>
            </w:r>
          </w:p>
          <w:p>
            <w:pPr>
              <w:pStyle w:val="TableParagraph"/>
              <w:spacing w:line="364" w:lineRule="auto" w:before="160"/>
              <w:ind w:left="135" w:right="123"/>
              <w:jc w:val="center"/>
              <w:rPr>
                <w:rFonts w:ascii="宋体" w:eastAsia="宋体" w:hint="eastAsia"/>
                <w:sz w:val="24"/>
              </w:rPr>
            </w:pPr>
            <w:r>
              <w:rPr>
                <w:rFonts w:ascii="宋体" w:eastAsia="宋体" w:hint="eastAsia"/>
                <w:spacing w:val="-1"/>
                <w:sz w:val="24"/>
              </w:rPr>
              <w:t>交易性金融资产</w:t>
            </w:r>
            <w:r>
              <w:rPr>
                <w:rFonts w:ascii="宋体" w:eastAsia="宋体" w:hint="eastAsia"/>
                <w:sz w:val="24"/>
              </w:rPr>
              <w:t>应收账款</w:t>
            </w:r>
          </w:p>
          <w:p>
            <w:pPr>
              <w:pStyle w:val="TableParagraph"/>
              <w:spacing w:before="2"/>
              <w:ind w:left="133" w:right="123"/>
              <w:jc w:val="center"/>
              <w:rPr>
                <w:rFonts w:ascii="宋体" w:eastAsia="宋体" w:hint="eastAsia"/>
                <w:sz w:val="24"/>
              </w:rPr>
            </w:pPr>
            <w:r>
              <w:rPr>
                <w:rFonts w:ascii="宋体" w:eastAsia="宋体" w:hint="eastAsia"/>
                <w:sz w:val="24"/>
              </w:rPr>
              <w:t>存货</w:t>
            </w:r>
          </w:p>
        </w:tc>
        <w:tc>
          <w:tcPr>
            <w:tcW w:w="1314" w:type="dxa"/>
          </w:tcPr>
          <w:p>
            <w:pPr>
              <w:pStyle w:val="TableParagraph"/>
              <w:spacing w:before="87"/>
              <w:ind w:left="352"/>
              <w:rPr>
                <w:sz w:val="24"/>
              </w:rPr>
            </w:pPr>
            <w:r>
              <w:rPr>
                <w:sz w:val="24"/>
              </w:rPr>
              <w:t>80000</w:t>
            </w:r>
          </w:p>
          <w:p>
            <w:pPr>
              <w:pStyle w:val="TableParagraph"/>
              <w:ind w:left="352"/>
              <w:rPr>
                <w:sz w:val="24"/>
              </w:rPr>
            </w:pPr>
            <w:r>
              <w:rPr>
                <w:sz w:val="24"/>
              </w:rPr>
              <w:t>40000</w:t>
            </w:r>
          </w:p>
          <w:p>
            <w:pPr>
              <w:pStyle w:val="TableParagraph"/>
              <w:ind w:left="352"/>
              <w:rPr>
                <w:sz w:val="24"/>
              </w:rPr>
            </w:pPr>
            <w:r>
              <w:rPr>
                <w:sz w:val="24"/>
              </w:rPr>
              <w:t>90000</w:t>
            </w:r>
          </w:p>
          <w:p>
            <w:pPr>
              <w:pStyle w:val="TableParagraph"/>
              <w:ind w:left="292"/>
              <w:rPr>
                <w:sz w:val="24"/>
              </w:rPr>
            </w:pPr>
            <w:r>
              <w:rPr>
                <w:sz w:val="24"/>
              </w:rPr>
              <w:t>200000</w:t>
            </w:r>
          </w:p>
        </w:tc>
        <w:tc>
          <w:tcPr>
            <w:tcW w:w="1314" w:type="dxa"/>
          </w:tcPr>
          <w:p>
            <w:pPr>
              <w:pStyle w:val="TableParagraph"/>
              <w:spacing w:before="87"/>
              <w:ind w:left="352"/>
              <w:rPr>
                <w:sz w:val="24"/>
              </w:rPr>
            </w:pPr>
            <w:r>
              <w:rPr>
                <w:sz w:val="24"/>
              </w:rPr>
              <w:t>70000</w:t>
            </w:r>
          </w:p>
          <w:p>
            <w:pPr>
              <w:pStyle w:val="TableParagraph"/>
              <w:ind w:left="352"/>
              <w:rPr>
                <w:sz w:val="24"/>
              </w:rPr>
            </w:pPr>
            <w:r>
              <w:rPr>
                <w:sz w:val="24"/>
              </w:rPr>
              <w:t>58000</w:t>
            </w:r>
          </w:p>
          <w:p>
            <w:pPr>
              <w:pStyle w:val="TableParagraph"/>
              <w:ind w:left="352"/>
              <w:rPr>
                <w:sz w:val="24"/>
              </w:rPr>
            </w:pPr>
            <w:r>
              <w:rPr>
                <w:sz w:val="24"/>
              </w:rPr>
              <w:t>80000</w:t>
            </w:r>
          </w:p>
          <w:p>
            <w:pPr>
              <w:pStyle w:val="TableParagraph"/>
              <w:ind w:left="292"/>
              <w:rPr>
                <w:sz w:val="24"/>
              </w:rPr>
            </w:pPr>
            <w:r>
              <w:rPr>
                <w:sz w:val="24"/>
              </w:rPr>
              <w:t>250000</w:t>
            </w:r>
          </w:p>
        </w:tc>
        <w:tc>
          <w:tcPr>
            <w:tcW w:w="1908" w:type="dxa"/>
          </w:tcPr>
          <w:p>
            <w:pPr>
              <w:pStyle w:val="TableParagraph"/>
              <w:spacing w:before="3"/>
              <w:ind w:left="0"/>
              <w:rPr>
                <w:rFonts w:ascii="Microsoft JhengHei"/>
                <w:b/>
                <w:sz w:val="17"/>
              </w:rPr>
            </w:pPr>
          </w:p>
          <w:p>
            <w:pPr>
              <w:pStyle w:val="TableParagraph"/>
              <w:spacing w:line="364" w:lineRule="auto" w:before="0"/>
              <w:ind w:left="473" w:right="462"/>
              <w:jc w:val="center"/>
              <w:rPr>
                <w:rFonts w:ascii="宋体" w:eastAsia="宋体" w:hint="eastAsia"/>
                <w:sz w:val="24"/>
              </w:rPr>
            </w:pPr>
            <w:r>
              <w:rPr>
                <w:rFonts w:ascii="宋体" w:eastAsia="宋体" w:hint="eastAsia"/>
                <w:spacing w:val="-1"/>
                <w:sz w:val="24"/>
              </w:rPr>
              <w:t>短期借款应付账款</w:t>
            </w:r>
          </w:p>
          <w:p>
            <w:pPr>
              <w:pStyle w:val="TableParagraph"/>
              <w:spacing w:before="1"/>
              <w:ind w:left="213" w:right="204"/>
              <w:jc w:val="center"/>
              <w:rPr>
                <w:rFonts w:ascii="宋体" w:eastAsia="宋体" w:hint="eastAsia"/>
                <w:sz w:val="24"/>
              </w:rPr>
            </w:pPr>
            <w:r>
              <w:rPr>
                <w:rFonts w:ascii="宋体" w:eastAsia="宋体" w:hint="eastAsia"/>
                <w:sz w:val="24"/>
              </w:rPr>
              <w:t>应付职工薪酬</w:t>
            </w:r>
          </w:p>
        </w:tc>
        <w:tc>
          <w:tcPr>
            <w:tcW w:w="1276" w:type="dxa"/>
          </w:tcPr>
          <w:p>
            <w:pPr>
              <w:pStyle w:val="TableParagraph"/>
              <w:spacing w:before="87"/>
              <w:ind w:left="273"/>
              <w:rPr>
                <w:sz w:val="24"/>
              </w:rPr>
            </w:pPr>
            <w:r>
              <w:rPr>
                <w:sz w:val="24"/>
              </w:rPr>
              <w:t>100000</w:t>
            </w:r>
          </w:p>
          <w:p>
            <w:pPr>
              <w:pStyle w:val="TableParagraph"/>
              <w:rPr>
                <w:sz w:val="24"/>
              </w:rPr>
            </w:pPr>
            <w:r>
              <w:rPr>
                <w:sz w:val="24"/>
              </w:rPr>
              <w:t>20000</w:t>
            </w:r>
          </w:p>
          <w:p>
            <w:pPr>
              <w:pStyle w:val="TableParagraph"/>
              <w:rPr>
                <w:sz w:val="24"/>
              </w:rPr>
            </w:pPr>
            <w:r>
              <w:rPr>
                <w:sz w:val="24"/>
              </w:rPr>
              <w:t>50000</w:t>
            </w:r>
          </w:p>
          <w:p>
            <w:pPr>
              <w:pStyle w:val="TableParagraph"/>
              <w:rPr>
                <w:sz w:val="24"/>
              </w:rPr>
            </w:pPr>
            <w:r>
              <w:rPr>
                <w:sz w:val="24"/>
              </w:rPr>
              <w:t>30000</w:t>
            </w:r>
          </w:p>
        </w:tc>
        <w:tc>
          <w:tcPr>
            <w:tcW w:w="1276" w:type="dxa"/>
          </w:tcPr>
          <w:p>
            <w:pPr>
              <w:pStyle w:val="TableParagraph"/>
              <w:spacing w:before="87"/>
              <w:rPr>
                <w:sz w:val="24"/>
              </w:rPr>
            </w:pPr>
            <w:r>
              <w:rPr>
                <w:sz w:val="24"/>
              </w:rPr>
              <w:t>80000</w:t>
            </w:r>
          </w:p>
          <w:p>
            <w:pPr>
              <w:pStyle w:val="TableParagraph"/>
              <w:rPr>
                <w:sz w:val="24"/>
              </w:rPr>
            </w:pPr>
            <w:r>
              <w:rPr>
                <w:sz w:val="24"/>
              </w:rPr>
              <w:t>30000</w:t>
            </w:r>
          </w:p>
          <w:p>
            <w:pPr>
              <w:pStyle w:val="TableParagraph"/>
              <w:rPr>
                <w:sz w:val="24"/>
              </w:rPr>
            </w:pPr>
            <w:r>
              <w:rPr>
                <w:sz w:val="24"/>
              </w:rPr>
              <w:t>40000</w:t>
            </w:r>
          </w:p>
          <w:p>
            <w:pPr>
              <w:pStyle w:val="TableParagraph"/>
              <w:rPr>
                <w:sz w:val="24"/>
              </w:rPr>
            </w:pPr>
            <w:r>
              <w:rPr>
                <w:sz w:val="24"/>
              </w:rPr>
              <w:t>50000</w:t>
            </w:r>
          </w:p>
        </w:tc>
      </w:tr>
    </w:tbl>
    <w:p>
      <w:pPr>
        <w:pStyle w:val="ListParagraph"/>
        <w:numPr>
          <w:ilvl w:val="0"/>
          <w:numId w:val="8"/>
        </w:numPr>
        <w:tabs>
          <w:tab w:pos="1004" w:val="left" w:leader="none"/>
        </w:tabs>
        <w:spacing w:line="364" w:lineRule="auto" w:before="83" w:after="0"/>
        <w:ind w:left="220" w:right="498" w:firstLine="480"/>
        <w:jc w:val="left"/>
        <w:rPr>
          <w:sz w:val="24"/>
        </w:rPr>
      </w:pPr>
      <w:r>
        <w:rPr>
          <w:rFonts w:ascii="Calibri" w:eastAsia="Calibri"/>
          <w:sz w:val="24"/>
        </w:rPr>
        <w:t>A</w:t>
      </w:r>
      <w:r>
        <w:rPr>
          <w:rFonts w:ascii="Calibri" w:eastAsia="Calibri"/>
          <w:spacing w:val="34"/>
          <w:sz w:val="24"/>
        </w:rPr>
        <w:t> </w:t>
      </w:r>
      <w:r>
        <w:rPr>
          <w:spacing w:val="-11"/>
          <w:sz w:val="24"/>
        </w:rPr>
        <w:t>公司 </w:t>
      </w:r>
      <w:r>
        <w:rPr>
          <w:rFonts w:ascii="Calibri" w:eastAsia="Calibri"/>
          <w:sz w:val="24"/>
        </w:rPr>
        <w:t>20*4</w:t>
      </w:r>
      <w:r>
        <w:rPr>
          <w:rFonts w:ascii="Calibri" w:eastAsia="Calibri"/>
          <w:spacing w:val="34"/>
          <w:sz w:val="24"/>
        </w:rPr>
        <w:t> </w:t>
      </w:r>
      <w:r>
        <w:rPr>
          <w:spacing w:val="-5"/>
          <w:sz w:val="24"/>
        </w:rPr>
        <w:t>年初流动资产 </w:t>
      </w:r>
      <w:r>
        <w:rPr>
          <w:rFonts w:ascii="Calibri" w:eastAsia="Calibri"/>
          <w:sz w:val="24"/>
        </w:rPr>
        <w:t>2327707</w:t>
      </w:r>
      <w:r>
        <w:rPr>
          <w:rFonts w:ascii="Calibri" w:eastAsia="Calibri"/>
          <w:spacing w:val="35"/>
          <w:sz w:val="24"/>
        </w:rPr>
        <w:t> </w:t>
      </w:r>
      <w:r>
        <w:rPr>
          <w:spacing w:val="-4"/>
          <w:sz w:val="24"/>
        </w:rPr>
        <w:t>万元，年末流动资产 </w:t>
      </w:r>
      <w:r>
        <w:rPr>
          <w:rFonts w:ascii="Calibri" w:eastAsia="Calibri"/>
          <w:sz w:val="24"/>
        </w:rPr>
        <w:t>4261082</w:t>
      </w:r>
      <w:r>
        <w:rPr>
          <w:rFonts w:ascii="Calibri" w:eastAsia="Calibri"/>
          <w:spacing w:val="35"/>
          <w:sz w:val="24"/>
        </w:rPr>
        <w:t> </w:t>
      </w:r>
      <w:r>
        <w:rPr>
          <w:sz w:val="24"/>
        </w:rPr>
        <w:t>万元，</w:t>
      </w:r>
      <w:r>
        <w:rPr>
          <w:spacing w:val="-117"/>
          <w:sz w:val="24"/>
        </w:rPr>
        <w:t> </w:t>
      </w:r>
      <w:r>
        <w:rPr>
          <w:spacing w:val="-8"/>
          <w:sz w:val="24"/>
        </w:rPr>
        <w:t>当年实现营业收入 </w:t>
      </w:r>
      <w:r>
        <w:rPr>
          <w:rFonts w:ascii="Calibri" w:eastAsia="Calibri"/>
          <w:sz w:val="24"/>
        </w:rPr>
        <w:t>4245777</w:t>
      </w:r>
      <w:r>
        <w:rPr>
          <w:rFonts w:ascii="Calibri" w:eastAsia="Calibri"/>
          <w:spacing w:val="5"/>
          <w:sz w:val="24"/>
        </w:rPr>
        <w:t> </w:t>
      </w:r>
      <w:r>
        <w:rPr>
          <w:sz w:val="24"/>
        </w:rPr>
        <w:t>万元。计算流动资产周转率。</w:t>
      </w:r>
    </w:p>
    <w:p>
      <w:pPr>
        <w:pStyle w:val="BodyText"/>
        <w:spacing w:before="1"/>
        <w:ind w:left="700"/>
      </w:pPr>
      <w:r>
        <w:rPr>
          <w:rFonts w:ascii="Calibri" w:eastAsia="Calibri"/>
        </w:rPr>
        <w:t>A.</w:t>
      </w:r>
      <w:r>
        <w:rPr>
          <w:rFonts w:ascii="Calibri" w:eastAsia="Calibri"/>
          <w:spacing w:val="-2"/>
        </w:rPr>
        <w:t> </w:t>
      </w:r>
      <w:r>
        <w:rPr>
          <w:rFonts w:ascii="Calibri" w:eastAsia="Calibri"/>
        </w:rPr>
        <w:t>2.35</w:t>
      </w:r>
      <w:r>
        <w:rPr>
          <w:rFonts w:ascii="Calibri" w:eastAsia="Calibri"/>
          <w:spacing w:val="5"/>
        </w:rPr>
        <w:t> </w:t>
      </w:r>
      <w:r>
        <w:rPr/>
        <w:t>次</w:t>
      </w:r>
    </w:p>
    <w:p>
      <w:pPr>
        <w:pStyle w:val="BodyText"/>
        <w:ind w:left="700"/>
      </w:pPr>
      <w:r>
        <w:rPr>
          <w:rFonts w:ascii="Calibri" w:eastAsia="Calibri"/>
        </w:rPr>
        <w:t>B. 2</w:t>
      </w:r>
      <w:r>
        <w:rPr>
          <w:rFonts w:ascii="Calibri" w:eastAsia="Calibri"/>
          <w:spacing w:val="5"/>
        </w:rPr>
        <w:t> </w:t>
      </w:r>
      <w:r>
        <w:rPr/>
        <w:t>次</w:t>
      </w:r>
    </w:p>
    <w:p>
      <w:pPr>
        <w:pStyle w:val="BodyText"/>
        <w:spacing w:before="160"/>
        <w:ind w:left="700"/>
      </w:pPr>
      <w:r>
        <w:rPr>
          <w:rFonts w:ascii="Calibri" w:eastAsia="Calibri"/>
        </w:rPr>
        <w:t>C</w:t>
      </w:r>
      <w:r>
        <w:rPr>
          <w:rFonts w:ascii="Calibri" w:eastAsia="Calibri"/>
          <w:spacing w:val="-1"/>
        </w:rPr>
        <w:t>. </w:t>
      </w:r>
      <w:r>
        <w:rPr>
          <w:rFonts w:ascii="Calibri" w:eastAsia="Calibri"/>
        </w:rPr>
        <w:t>2.35</w:t>
      </w:r>
      <w:r>
        <w:rPr>
          <w:rFonts w:ascii="Calibri" w:eastAsia="Calibri"/>
          <w:spacing w:val="4"/>
        </w:rPr>
        <w:t> </w:t>
      </w:r>
      <w:r>
        <w:rPr/>
        <w:t>次</w:t>
      </w:r>
    </w:p>
    <w:p>
      <w:pPr>
        <w:spacing w:before="81"/>
        <w:ind w:left="700" w:right="0" w:firstLine="0"/>
        <w:jc w:val="left"/>
        <w:rPr>
          <w:rFonts w:ascii="Microsoft JhengHei" w:eastAsia="Microsoft JhengHei" w:hint="eastAsia"/>
          <w:b/>
          <w:sz w:val="24"/>
        </w:rPr>
      </w:pPr>
      <w:r>
        <w:rPr>
          <w:rFonts w:ascii="Calibri" w:eastAsia="Calibri"/>
          <w:b/>
          <w:color w:val="FF0000"/>
          <w:sz w:val="24"/>
        </w:rPr>
        <w:t>D</w:t>
      </w:r>
      <w:r>
        <w:rPr>
          <w:rFonts w:ascii="Calibri" w:eastAsia="Calibri"/>
          <w:b/>
          <w:color w:val="FF0000"/>
          <w:spacing w:val="-1"/>
          <w:sz w:val="24"/>
        </w:rPr>
        <w:t>. </w:t>
      </w:r>
      <w:r>
        <w:rPr>
          <w:rFonts w:ascii="Calibri" w:eastAsia="Calibri"/>
          <w:b/>
          <w:color w:val="FF0000"/>
          <w:sz w:val="24"/>
        </w:rPr>
        <w:t>1.29</w:t>
      </w:r>
      <w:r>
        <w:rPr>
          <w:rFonts w:ascii="Calibri" w:eastAsia="Calibri"/>
          <w:b/>
          <w:color w:val="FF0000"/>
          <w:spacing w:val="4"/>
          <w:sz w:val="24"/>
        </w:rPr>
        <w:t> </w:t>
      </w:r>
      <w:r>
        <w:rPr>
          <w:rFonts w:ascii="Microsoft JhengHei" w:eastAsia="Microsoft JhengHei" w:hint="eastAsia"/>
          <w:b/>
          <w:color w:val="FF0000"/>
          <w:sz w:val="24"/>
        </w:rPr>
        <w:t>次</w:t>
      </w:r>
    </w:p>
    <w:sectPr>
      <w:pgSz w:w="11910" w:h="16840"/>
      <w:pgMar w:top="1420" w:bottom="280" w:left="15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03" w:hanging="184"/>
        <w:jc w:val="right"/>
      </w:pPr>
      <w:rPr>
        <w:rFonts w:hint="default" w:ascii="Calibri" w:hAnsi="Calibri" w:eastAsia="Calibri" w:cs="Calibri"/>
        <w:b w:val="0"/>
        <w:bCs w:val="0"/>
        <w:i w:val="0"/>
        <w:iCs w:val="0"/>
        <w:spacing w:val="-1"/>
        <w:w w:val="100"/>
        <w:sz w:val="22"/>
        <w:szCs w:val="22"/>
        <w:lang w:val="en-us" w:eastAsia="en-US" w:bidi="ar-SA"/>
      </w:rPr>
    </w:lvl>
    <w:lvl w:ilvl="1">
      <w:start w:val="1"/>
      <w:numFmt w:val="upperLetter"/>
      <w:lvlText w:val="%2."/>
      <w:lvlJc w:val="left"/>
      <w:pPr>
        <w:ind w:left="1029" w:hanging="330"/>
        <w:jc w:val="left"/>
      </w:pPr>
      <w:rPr>
        <w:rFonts w:hint="default"/>
        <w:w w:val="100"/>
        <w:lang w:val="en-us" w:eastAsia="en-US" w:bidi="ar-SA"/>
      </w:rPr>
    </w:lvl>
    <w:lvl w:ilvl="2">
      <w:start w:val="0"/>
      <w:numFmt w:val="bullet"/>
      <w:lvlText w:val="•"/>
      <w:lvlJc w:val="left"/>
      <w:pPr>
        <w:ind w:left="1936" w:hanging="330"/>
      </w:pPr>
      <w:rPr>
        <w:rFonts w:hint="default"/>
        <w:lang w:val="en-us" w:eastAsia="en-US" w:bidi="ar-SA"/>
      </w:rPr>
    </w:lvl>
    <w:lvl w:ilvl="3">
      <w:start w:val="0"/>
      <w:numFmt w:val="bullet"/>
      <w:lvlText w:val="•"/>
      <w:lvlJc w:val="left"/>
      <w:pPr>
        <w:ind w:left="2852" w:hanging="330"/>
      </w:pPr>
      <w:rPr>
        <w:rFonts w:hint="default"/>
        <w:lang w:val="en-us" w:eastAsia="en-US" w:bidi="ar-SA"/>
      </w:rPr>
    </w:lvl>
    <w:lvl w:ilvl="4">
      <w:start w:val="0"/>
      <w:numFmt w:val="bullet"/>
      <w:lvlText w:val="•"/>
      <w:lvlJc w:val="left"/>
      <w:pPr>
        <w:ind w:left="3768" w:hanging="330"/>
      </w:pPr>
      <w:rPr>
        <w:rFonts w:hint="default"/>
        <w:lang w:val="en-us" w:eastAsia="en-US" w:bidi="ar-SA"/>
      </w:rPr>
    </w:lvl>
    <w:lvl w:ilvl="5">
      <w:start w:val="0"/>
      <w:numFmt w:val="bullet"/>
      <w:lvlText w:val="•"/>
      <w:lvlJc w:val="left"/>
      <w:pPr>
        <w:ind w:left="4684" w:hanging="330"/>
      </w:pPr>
      <w:rPr>
        <w:rFonts w:hint="default"/>
        <w:lang w:val="en-us" w:eastAsia="en-US" w:bidi="ar-SA"/>
      </w:rPr>
    </w:lvl>
    <w:lvl w:ilvl="6">
      <w:start w:val="0"/>
      <w:numFmt w:val="bullet"/>
      <w:lvlText w:val="•"/>
      <w:lvlJc w:val="left"/>
      <w:pPr>
        <w:ind w:left="5601" w:hanging="330"/>
      </w:pPr>
      <w:rPr>
        <w:rFonts w:hint="default"/>
        <w:lang w:val="en-us" w:eastAsia="en-US" w:bidi="ar-SA"/>
      </w:rPr>
    </w:lvl>
    <w:lvl w:ilvl="7">
      <w:start w:val="0"/>
      <w:numFmt w:val="bullet"/>
      <w:lvlText w:val="•"/>
      <w:lvlJc w:val="left"/>
      <w:pPr>
        <w:ind w:left="6517" w:hanging="330"/>
      </w:pPr>
      <w:rPr>
        <w:rFonts w:hint="default"/>
        <w:lang w:val="en-us" w:eastAsia="en-US" w:bidi="ar-SA"/>
      </w:rPr>
    </w:lvl>
    <w:lvl w:ilvl="8">
      <w:start w:val="0"/>
      <w:numFmt w:val="bullet"/>
      <w:lvlText w:val="•"/>
      <w:lvlJc w:val="left"/>
      <w:pPr>
        <w:ind w:left="7433" w:hanging="330"/>
      </w:pPr>
      <w:rPr>
        <w:rFonts w:hint="default"/>
        <w:lang w:val="en-us" w:eastAsia="en-US" w:bidi="ar-SA"/>
      </w:rPr>
    </w:lvl>
  </w:abstractNum>
  <w:abstractNum w:abstractNumId="6">
    <w:multiLevelType w:val="hybridMultilevel"/>
    <w:lvl w:ilvl="0">
      <w:start w:val="1"/>
      <w:numFmt w:val="decimal"/>
      <w:lvlText w:val="（%1）"/>
      <w:lvlJc w:val="left"/>
      <w:pPr>
        <w:ind w:left="700" w:hanging="603"/>
        <w:jc w:val="left"/>
      </w:pPr>
      <w:rPr>
        <w:rFonts w:hint="default" w:ascii="宋体" w:hAnsi="宋体" w:eastAsia="宋体" w:cs="宋体"/>
        <w:b w:val="0"/>
        <w:bCs w:val="0"/>
        <w:i w:val="0"/>
        <w:iCs w:val="0"/>
        <w:w w:val="100"/>
        <w:sz w:val="22"/>
        <w:szCs w:val="22"/>
        <w:lang w:val="en-us" w:eastAsia="en-US" w:bidi="ar-SA"/>
      </w:rPr>
    </w:lvl>
    <w:lvl w:ilvl="1">
      <w:start w:val="0"/>
      <w:numFmt w:val="bullet"/>
      <w:lvlText w:val="•"/>
      <w:lvlJc w:val="left"/>
      <w:pPr>
        <w:ind w:left="1556" w:hanging="603"/>
      </w:pPr>
      <w:rPr>
        <w:rFonts w:hint="default"/>
        <w:lang w:val="en-us" w:eastAsia="en-US" w:bidi="ar-SA"/>
      </w:rPr>
    </w:lvl>
    <w:lvl w:ilvl="2">
      <w:start w:val="0"/>
      <w:numFmt w:val="bullet"/>
      <w:lvlText w:val="•"/>
      <w:lvlJc w:val="left"/>
      <w:pPr>
        <w:ind w:left="2413" w:hanging="603"/>
      </w:pPr>
      <w:rPr>
        <w:rFonts w:hint="default"/>
        <w:lang w:val="en-us" w:eastAsia="en-US" w:bidi="ar-SA"/>
      </w:rPr>
    </w:lvl>
    <w:lvl w:ilvl="3">
      <w:start w:val="0"/>
      <w:numFmt w:val="bullet"/>
      <w:lvlText w:val="•"/>
      <w:lvlJc w:val="left"/>
      <w:pPr>
        <w:ind w:left="3269" w:hanging="603"/>
      </w:pPr>
      <w:rPr>
        <w:rFonts w:hint="default"/>
        <w:lang w:val="en-us" w:eastAsia="en-US" w:bidi="ar-SA"/>
      </w:rPr>
    </w:lvl>
    <w:lvl w:ilvl="4">
      <w:start w:val="0"/>
      <w:numFmt w:val="bullet"/>
      <w:lvlText w:val="•"/>
      <w:lvlJc w:val="left"/>
      <w:pPr>
        <w:ind w:left="4126" w:hanging="603"/>
      </w:pPr>
      <w:rPr>
        <w:rFonts w:hint="default"/>
        <w:lang w:val="en-us" w:eastAsia="en-US" w:bidi="ar-SA"/>
      </w:rPr>
    </w:lvl>
    <w:lvl w:ilvl="5">
      <w:start w:val="0"/>
      <w:numFmt w:val="bullet"/>
      <w:lvlText w:val="•"/>
      <w:lvlJc w:val="left"/>
      <w:pPr>
        <w:ind w:left="4983" w:hanging="603"/>
      </w:pPr>
      <w:rPr>
        <w:rFonts w:hint="default"/>
        <w:lang w:val="en-us" w:eastAsia="en-US" w:bidi="ar-SA"/>
      </w:rPr>
    </w:lvl>
    <w:lvl w:ilvl="6">
      <w:start w:val="0"/>
      <w:numFmt w:val="bullet"/>
      <w:lvlText w:val="•"/>
      <w:lvlJc w:val="left"/>
      <w:pPr>
        <w:ind w:left="5839" w:hanging="603"/>
      </w:pPr>
      <w:rPr>
        <w:rFonts w:hint="default"/>
        <w:lang w:val="en-us" w:eastAsia="en-US" w:bidi="ar-SA"/>
      </w:rPr>
    </w:lvl>
    <w:lvl w:ilvl="7">
      <w:start w:val="0"/>
      <w:numFmt w:val="bullet"/>
      <w:lvlText w:val="•"/>
      <w:lvlJc w:val="left"/>
      <w:pPr>
        <w:ind w:left="6696" w:hanging="603"/>
      </w:pPr>
      <w:rPr>
        <w:rFonts w:hint="default"/>
        <w:lang w:val="en-us" w:eastAsia="en-US" w:bidi="ar-SA"/>
      </w:rPr>
    </w:lvl>
    <w:lvl w:ilvl="8">
      <w:start w:val="0"/>
      <w:numFmt w:val="bullet"/>
      <w:lvlText w:val="•"/>
      <w:lvlJc w:val="left"/>
      <w:pPr>
        <w:ind w:left="7552" w:hanging="603"/>
      </w:pPr>
      <w:rPr>
        <w:rFonts w:hint="default"/>
        <w:lang w:val="en-us" w:eastAsia="en-US" w:bidi="ar-SA"/>
      </w:rPr>
    </w:lvl>
  </w:abstractNum>
  <w:abstractNum w:abstractNumId="5">
    <w:multiLevelType w:val="hybridMultilevel"/>
    <w:lvl w:ilvl="0">
      <w:start w:val="1"/>
      <w:numFmt w:val="decimal"/>
      <w:lvlText w:val="%1."/>
      <w:lvlJc w:val="left"/>
      <w:pPr>
        <w:ind w:left="403" w:hanging="184"/>
        <w:jc w:val="left"/>
      </w:pPr>
      <w:rPr>
        <w:rFonts w:hint="default" w:ascii="Calibri" w:hAnsi="Calibri" w:eastAsia="Calibri" w:cs="Calibri"/>
        <w:b w:val="0"/>
        <w:bCs w:val="0"/>
        <w:i w:val="0"/>
        <w:iCs w:val="0"/>
        <w:spacing w:val="-1"/>
        <w:w w:val="100"/>
        <w:sz w:val="22"/>
        <w:szCs w:val="22"/>
        <w:lang w:val="en-us" w:eastAsia="en-US" w:bidi="ar-SA"/>
      </w:rPr>
    </w:lvl>
    <w:lvl w:ilvl="1">
      <w:start w:val="1"/>
      <w:numFmt w:val="upperLetter"/>
      <w:lvlText w:val="%2."/>
      <w:lvlJc w:val="left"/>
      <w:pPr>
        <w:ind w:left="1029" w:hanging="330"/>
        <w:jc w:val="left"/>
      </w:pPr>
      <w:rPr>
        <w:rFonts w:hint="default"/>
        <w:w w:val="100"/>
        <w:lang w:val="en-us" w:eastAsia="en-US" w:bidi="ar-SA"/>
      </w:rPr>
    </w:lvl>
    <w:lvl w:ilvl="2">
      <w:start w:val="0"/>
      <w:numFmt w:val="bullet"/>
      <w:lvlText w:val="•"/>
      <w:lvlJc w:val="left"/>
      <w:pPr>
        <w:ind w:left="1020" w:hanging="330"/>
      </w:pPr>
      <w:rPr>
        <w:rFonts w:hint="default"/>
        <w:lang w:val="en-us" w:eastAsia="en-US" w:bidi="ar-SA"/>
      </w:rPr>
    </w:lvl>
    <w:lvl w:ilvl="3">
      <w:start w:val="0"/>
      <w:numFmt w:val="bullet"/>
      <w:lvlText w:val="•"/>
      <w:lvlJc w:val="left"/>
      <w:pPr>
        <w:ind w:left="2050" w:hanging="330"/>
      </w:pPr>
      <w:rPr>
        <w:rFonts w:hint="default"/>
        <w:lang w:val="en-us" w:eastAsia="en-US" w:bidi="ar-SA"/>
      </w:rPr>
    </w:lvl>
    <w:lvl w:ilvl="4">
      <w:start w:val="0"/>
      <w:numFmt w:val="bullet"/>
      <w:lvlText w:val="•"/>
      <w:lvlJc w:val="left"/>
      <w:pPr>
        <w:ind w:left="3081" w:hanging="330"/>
      </w:pPr>
      <w:rPr>
        <w:rFonts w:hint="default"/>
        <w:lang w:val="en-us" w:eastAsia="en-US" w:bidi="ar-SA"/>
      </w:rPr>
    </w:lvl>
    <w:lvl w:ilvl="5">
      <w:start w:val="0"/>
      <w:numFmt w:val="bullet"/>
      <w:lvlText w:val="•"/>
      <w:lvlJc w:val="left"/>
      <w:pPr>
        <w:ind w:left="4112" w:hanging="330"/>
      </w:pPr>
      <w:rPr>
        <w:rFonts w:hint="default"/>
        <w:lang w:val="en-us" w:eastAsia="en-US" w:bidi="ar-SA"/>
      </w:rPr>
    </w:lvl>
    <w:lvl w:ilvl="6">
      <w:start w:val="0"/>
      <w:numFmt w:val="bullet"/>
      <w:lvlText w:val="•"/>
      <w:lvlJc w:val="left"/>
      <w:pPr>
        <w:ind w:left="5143" w:hanging="330"/>
      </w:pPr>
      <w:rPr>
        <w:rFonts w:hint="default"/>
        <w:lang w:val="en-us" w:eastAsia="en-US" w:bidi="ar-SA"/>
      </w:rPr>
    </w:lvl>
    <w:lvl w:ilvl="7">
      <w:start w:val="0"/>
      <w:numFmt w:val="bullet"/>
      <w:lvlText w:val="•"/>
      <w:lvlJc w:val="left"/>
      <w:pPr>
        <w:ind w:left="6173" w:hanging="330"/>
      </w:pPr>
      <w:rPr>
        <w:rFonts w:hint="default"/>
        <w:lang w:val="en-us" w:eastAsia="en-US" w:bidi="ar-SA"/>
      </w:rPr>
    </w:lvl>
    <w:lvl w:ilvl="8">
      <w:start w:val="0"/>
      <w:numFmt w:val="bullet"/>
      <w:lvlText w:val="•"/>
      <w:lvlJc w:val="left"/>
      <w:pPr>
        <w:ind w:left="7204" w:hanging="330"/>
      </w:pPr>
      <w:rPr>
        <w:rFonts w:hint="default"/>
        <w:lang w:val="en-us" w:eastAsia="en-US" w:bidi="ar-SA"/>
      </w:rPr>
    </w:lvl>
  </w:abstractNum>
  <w:abstractNum w:abstractNumId="4">
    <w:multiLevelType w:val="hybridMultilevel"/>
    <w:lvl w:ilvl="0">
      <w:start w:val="1"/>
      <w:numFmt w:val="decimal"/>
      <w:lvlText w:val="（%1）"/>
      <w:lvlJc w:val="left"/>
      <w:pPr>
        <w:ind w:left="1302" w:hanging="603"/>
        <w:jc w:val="left"/>
      </w:pPr>
      <w:rPr>
        <w:rFonts w:hint="default" w:ascii="宋体" w:hAnsi="宋体" w:eastAsia="宋体" w:cs="宋体"/>
        <w:b w:val="0"/>
        <w:bCs w:val="0"/>
        <w:i w:val="0"/>
        <w:iCs w:val="0"/>
        <w:w w:val="100"/>
        <w:sz w:val="22"/>
        <w:szCs w:val="22"/>
        <w:lang w:val="en-us" w:eastAsia="en-US" w:bidi="ar-SA"/>
      </w:rPr>
    </w:lvl>
    <w:lvl w:ilvl="1">
      <w:start w:val="0"/>
      <w:numFmt w:val="bullet"/>
      <w:lvlText w:val="•"/>
      <w:lvlJc w:val="left"/>
      <w:pPr>
        <w:ind w:left="2096" w:hanging="603"/>
      </w:pPr>
      <w:rPr>
        <w:rFonts w:hint="default"/>
        <w:lang w:val="en-us" w:eastAsia="en-US" w:bidi="ar-SA"/>
      </w:rPr>
    </w:lvl>
    <w:lvl w:ilvl="2">
      <w:start w:val="0"/>
      <w:numFmt w:val="bullet"/>
      <w:lvlText w:val="•"/>
      <w:lvlJc w:val="left"/>
      <w:pPr>
        <w:ind w:left="2893" w:hanging="603"/>
      </w:pPr>
      <w:rPr>
        <w:rFonts w:hint="default"/>
        <w:lang w:val="en-us" w:eastAsia="en-US" w:bidi="ar-SA"/>
      </w:rPr>
    </w:lvl>
    <w:lvl w:ilvl="3">
      <w:start w:val="0"/>
      <w:numFmt w:val="bullet"/>
      <w:lvlText w:val="•"/>
      <w:lvlJc w:val="left"/>
      <w:pPr>
        <w:ind w:left="3689" w:hanging="603"/>
      </w:pPr>
      <w:rPr>
        <w:rFonts w:hint="default"/>
        <w:lang w:val="en-us" w:eastAsia="en-US" w:bidi="ar-SA"/>
      </w:rPr>
    </w:lvl>
    <w:lvl w:ilvl="4">
      <w:start w:val="0"/>
      <w:numFmt w:val="bullet"/>
      <w:lvlText w:val="•"/>
      <w:lvlJc w:val="left"/>
      <w:pPr>
        <w:ind w:left="4486" w:hanging="603"/>
      </w:pPr>
      <w:rPr>
        <w:rFonts w:hint="default"/>
        <w:lang w:val="en-us" w:eastAsia="en-US" w:bidi="ar-SA"/>
      </w:rPr>
    </w:lvl>
    <w:lvl w:ilvl="5">
      <w:start w:val="0"/>
      <w:numFmt w:val="bullet"/>
      <w:lvlText w:val="•"/>
      <w:lvlJc w:val="left"/>
      <w:pPr>
        <w:ind w:left="5283" w:hanging="603"/>
      </w:pPr>
      <w:rPr>
        <w:rFonts w:hint="default"/>
        <w:lang w:val="en-us" w:eastAsia="en-US" w:bidi="ar-SA"/>
      </w:rPr>
    </w:lvl>
    <w:lvl w:ilvl="6">
      <w:start w:val="0"/>
      <w:numFmt w:val="bullet"/>
      <w:lvlText w:val="•"/>
      <w:lvlJc w:val="left"/>
      <w:pPr>
        <w:ind w:left="6079" w:hanging="603"/>
      </w:pPr>
      <w:rPr>
        <w:rFonts w:hint="default"/>
        <w:lang w:val="en-us" w:eastAsia="en-US" w:bidi="ar-SA"/>
      </w:rPr>
    </w:lvl>
    <w:lvl w:ilvl="7">
      <w:start w:val="0"/>
      <w:numFmt w:val="bullet"/>
      <w:lvlText w:val="•"/>
      <w:lvlJc w:val="left"/>
      <w:pPr>
        <w:ind w:left="6876" w:hanging="603"/>
      </w:pPr>
      <w:rPr>
        <w:rFonts w:hint="default"/>
        <w:lang w:val="en-us" w:eastAsia="en-US" w:bidi="ar-SA"/>
      </w:rPr>
    </w:lvl>
    <w:lvl w:ilvl="8">
      <w:start w:val="0"/>
      <w:numFmt w:val="bullet"/>
      <w:lvlText w:val="•"/>
      <w:lvlJc w:val="left"/>
      <w:pPr>
        <w:ind w:left="7672" w:hanging="603"/>
      </w:pPr>
      <w:rPr>
        <w:rFonts w:hint="default"/>
        <w:lang w:val="en-us" w:eastAsia="en-US" w:bidi="ar-SA"/>
      </w:rPr>
    </w:lvl>
  </w:abstractNum>
  <w:abstractNum w:abstractNumId="3">
    <w:multiLevelType w:val="hybridMultilevel"/>
    <w:lvl w:ilvl="0">
      <w:start w:val="1"/>
      <w:numFmt w:val="decimal"/>
      <w:lvlText w:val="（%1）"/>
      <w:lvlJc w:val="left"/>
      <w:pPr>
        <w:ind w:left="700" w:hanging="603"/>
        <w:jc w:val="left"/>
      </w:pPr>
      <w:rPr>
        <w:rFonts w:hint="default" w:ascii="宋体" w:hAnsi="宋体" w:eastAsia="宋体" w:cs="宋体"/>
        <w:b w:val="0"/>
        <w:bCs w:val="0"/>
        <w:i w:val="0"/>
        <w:iCs w:val="0"/>
        <w:w w:val="100"/>
        <w:sz w:val="22"/>
        <w:szCs w:val="22"/>
        <w:lang w:val="en-us" w:eastAsia="en-US" w:bidi="ar-SA"/>
      </w:rPr>
    </w:lvl>
    <w:lvl w:ilvl="1">
      <w:start w:val="0"/>
      <w:numFmt w:val="bullet"/>
      <w:lvlText w:val="•"/>
      <w:lvlJc w:val="left"/>
      <w:pPr>
        <w:ind w:left="1556" w:hanging="603"/>
      </w:pPr>
      <w:rPr>
        <w:rFonts w:hint="default"/>
        <w:lang w:val="en-us" w:eastAsia="en-US" w:bidi="ar-SA"/>
      </w:rPr>
    </w:lvl>
    <w:lvl w:ilvl="2">
      <w:start w:val="0"/>
      <w:numFmt w:val="bullet"/>
      <w:lvlText w:val="•"/>
      <w:lvlJc w:val="left"/>
      <w:pPr>
        <w:ind w:left="2413" w:hanging="603"/>
      </w:pPr>
      <w:rPr>
        <w:rFonts w:hint="default"/>
        <w:lang w:val="en-us" w:eastAsia="en-US" w:bidi="ar-SA"/>
      </w:rPr>
    </w:lvl>
    <w:lvl w:ilvl="3">
      <w:start w:val="0"/>
      <w:numFmt w:val="bullet"/>
      <w:lvlText w:val="•"/>
      <w:lvlJc w:val="left"/>
      <w:pPr>
        <w:ind w:left="3269" w:hanging="603"/>
      </w:pPr>
      <w:rPr>
        <w:rFonts w:hint="default"/>
        <w:lang w:val="en-us" w:eastAsia="en-US" w:bidi="ar-SA"/>
      </w:rPr>
    </w:lvl>
    <w:lvl w:ilvl="4">
      <w:start w:val="0"/>
      <w:numFmt w:val="bullet"/>
      <w:lvlText w:val="•"/>
      <w:lvlJc w:val="left"/>
      <w:pPr>
        <w:ind w:left="4126" w:hanging="603"/>
      </w:pPr>
      <w:rPr>
        <w:rFonts w:hint="default"/>
        <w:lang w:val="en-us" w:eastAsia="en-US" w:bidi="ar-SA"/>
      </w:rPr>
    </w:lvl>
    <w:lvl w:ilvl="5">
      <w:start w:val="0"/>
      <w:numFmt w:val="bullet"/>
      <w:lvlText w:val="•"/>
      <w:lvlJc w:val="left"/>
      <w:pPr>
        <w:ind w:left="4983" w:hanging="603"/>
      </w:pPr>
      <w:rPr>
        <w:rFonts w:hint="default"/>
        <w:lang w:val="en-us" w:eastAsia="en-US" w:bidi="ar-SA"/>
      </w:rPr>
    </w:lvl>
    <w:lvl w:ilvl="6">
      <w:start w:val="0"/>
      <w:numFmt w:val="bullet"/>
      <w:lvlText w:val="•"/>
      <w:lvlJc w:val="left"/>
      <w:pPr>
        <w:ind w:left="5839" w:hanging="603"/>
      </w:pPr>
      <w:rPr>
        <w:rFonts w:hint="default"/>
        <w:lang w:val="en-us" w:eastAsia="en-US" w:bidi="ar-SA"/>
      </w:rPr>
    </w:lvl>
    <w:lvl w:ilvl="7">
      <w:start w:val="0"/>
      <w:numFmt w:val="bullet"/>
      <w:lvlText w:val="•"/>
      <w:lvlJc w:val="left"/>
      <w:pPr>
        <w:ind w:left="6696" w:hanging="603"/>
      </w:pPr>
      <w:rPr>
        <w:rFonts w:hint="default"/>
        <w:lang w:val="en-us" w:eastAsia="en-US" w:bidi="ar-SA"/>
      </w:rPr>
    </w:lvl>
    <w:lvl w:ilvl="8">
      <w:start w:val="0"/>
      <w:numFmt w:val="bullet"/>
      <w:lvlText w:val="•"/>
      <w:lvlJc w:val="left"/>
      <w:pPr>
        <w:ind w:left="7552" w:hanging="603"/>
      </w:pPr>
      <w:rPr>
        <w:rFonts w:hint="default"/>
        <w:lang w:val="en-us" w:eastAsia="en-US" w:bidi="ar-SA"/>
      </w:rPr>
    </w:lvl>
  </w:abstractNum>
  <w:abstractNum w:abstractNumId="2">
    <w:multiLevelType w:val="hybridMultilevel"/>
    <w:lvl w:ilvl="0">
      <w:start w:val="1"/>
      <w:numFmt w:val="decimal"/>
      <w:lvlText w:val="%1."/>
      <w:lvlJc w:val="left"/>
      <w:pPr>
        <w:ind w:left="403" w:hanging="184"/>
        <w:jc w:val="right"/>
      </w:pPr>
      <w:rPr>
        <w:rFonts w:hint="default" w:ascii="Calibri" w:hAnsi="Calibri" w:eastAsia="Calibri" w:cs="Calibri"/>
        <w:b w:val="0"/>
        <w:bCs w:val="0"/>
        <w:i w:val="0"/>
        <w:iCs w:val="0"/>
        <w:spacing w:val="-1"/>
        <w:w w:val="100"/>
        <w:sz w:val="22"/>
        <w:szCs w:val="22"/>
        <w:lang w:val="en-us" w:eastAsia="en-US" w:bidi="ar-SA"/>
      </w:rPr>
    </w:lvl>
    <w:lvl w:ilvl="1">
      <w:start w:val="1"/>
      <w:numFmt w:val="upperLetter"/>
      <w:lvlText w:val="%2."/>
      <w:lvlJc w:val="left"/>
      <w:pPr>
        <w:ind w:left="1029" w:hanging="330"/>
        <w:jc w:val="left"/>
      </w:pPr>
      <w:rPr>
        <w:rFonts w:hint="default"/>
        <w:w w:val="100"/>
        <w:lang w:val="en-us" w:eastAsia="en-US" w:bidi="ar-SA"/>
      </w:rPr>
    </w:lvl>
    <w:lvl w:ilvl="2">
      <w:start w:val="0"/>
      <w:numFmt w:val="bullet"/>
      <w:lvlText w:val="•"/>
      <w:lvlJc w:val="left"/>
      <w:pPr>
        <w:ind w:left="1936" w:hanging="330"/>
      </w:pPr>
      <w:rPr>
        <w:rFonts w:hint="default"/>
        <w:lang w:val="en-us" w:eastAsia="en-US" w:bidi="ar-SA"/>
      </w:rPr>
    </w:lvl>
    <w:lvl w:ilvl="3">
      <w:start w:val="0"/>
      <w:numFmt w:val="bullet"/>
      <w:lvlText w:val="•"/>
      <w:lvlJc w:val="left"/>
      <w:pPr>
        <w:ind w:left="2852" w:hanging="330"/>
      </w:pPr>
      <w:rPr>
        <w:rFonts w:hint="default"/>
        <w:lang w:val="en-us" w:eastAsia="en-US" w:bidi="ar-SA"/>
      </w:rPr>
    </w:lvl>
    <w:lvl w:ilvl="4">
      <w:start w:val="0"/>
      <w:numFmt w:val="bullet"/>
      <w:lvlText w:val="•"/>
      <w:lvlJc w:val="left"/>
      <w:pPr>
        <w:ind w:left="3768" w:hanging="330"/>
      </w:pPr>
      <w:rPr>
        <w:rFonts w:hint="default"/>
        <w:lang w:val="en-us" w:eastAsia="en-US" w:bidi="ar-SA"/>
      </w:rPr>
    </w:lvl>
    <w:lvl w:ilvl="5">
      <w:start w:val="0"/>
      <w:numFmt w:val="bullet"/>
      <w:lvlText w:val="•"/>
      <w:lvlJc w:val="left"/>
      <w:pPr>
        <w:ind w:left="4684" w:hanging="330"/>
      </w:pPr>
      <w:rPr>
        <w:rFonts w:hint="default"/>
        <w:lang w:val="en-us" w:eastAsia="en-US" w:bidi="ar-SA"/>
      </w:rPr>
    </w:lvl>
    <w:lvl w:ilvl="6">
      <w:start w:val="0"/>
      <w:numFmt w:val="bullet"/>
      <w:lvlText w:val="•"/>
      <w:lvlJc w:val="left"/>
      <w:pPr>
        <w:ind w:left="5601" w:hanging="330"/>
      </w:pPr>
      <w:rPr>
        <w:rFonts w:hint="default"/>
        <w:lang w:val="en-us" w:eastAsia="en-US" w:bidi="ar-SA"/>
      </w:rPr>
    </w:lvl>
    <w:lvl w:ilvl="7">
      <w:start w:val="0"/>
      <w:numFmt w:val="bullet"/>
      <w:lvlText w:val="•"/>
      <w:lvlJc w:val="left"/>
      <w:pPr>
        <w:ind w:left="6517" w:hanging="330"/>
      </w:pPr>
      <w:rPr>
        <w:rFonts w:hint="default"/>
        <w:lang w:val="en-us" w:eastAsia="en-US" w:bidi="ar-SA"/>
      </w:rPr>
    </w:lvl>
    <w:lvl w:ilvl="8">
      <w:start w:val="0"/>
      <w:numFmt w:val="bullet"/>
      <w:lvlText w:val="•"/>
      <w:lvlJc w:val="left"/>
      <w:pPr>
        <w:ind w:left="7433" w:hanging="330"/>
      </w:pPr>
      <w:rPr>
        <w:rFonts w:hint="default"/>
        <w:lang w:val="en-us" w:eastAsia="en-US" w:bidi="ar-SA"/>
      </w:rPr>
    </w:lvl>
  </w:abstractNum>
  <w:abstractNum w:abstractNumId="1">
    <w:multiLevelType w:val="hybridMultilevel"/>
    <w:lvl w:ilvl="0">
      <w:start w:val="2"/>
      <w:numFmt w:val="decimal"/>
      <w:lvlText w:val="%1."/>
      <w:lvlJc w:val="left"/>
      <w:pPr>
        <w:ind w:left="403" w:hanging="184"/>
        <w:jc w:val="right"/>
      </w:pPr>
      <w:rPr>
        <w:rFonts w:hint="default" w:ascii="Calibri" w:hAnsi="Calibri" w:eastAsia="Calibri" w:cs="Calibri"/>
        <w:b w:val="0"/>
        <w:bCs w:val="0"/>
        <w:i w:val="0"/>
        <w:iCs w:val="0"/>
        <w:spacing w:val="-1"/>
        <w:w w:val="100"/>
        <w:sz w:val="22"/>
        <w:szCs w:val="22"/>
        <w:lang w:val="en-us" w:eastAsia="en-US" w:bidi="ar-SA"/>
      </w:rPr>
    </w:lvl>
    <w:lvl w:ilvl="1">
      <w:start w:val="1"/>
      <w:numFmt w:val="upperLetter"/>
      <w:lvlText w:val="%2."/>
      <w:lvlJc w:val="left"/>
      <w:pPr>
        <w:ind w:left="1029" w:hanging="330"/>
        <w:jc w:val="left"/>
      </w:pPr>
      <w:rPr>
        <w:rFonts w:hint="default"/>
        <w:w w:val="100"/>
        <w:lang w:val="en-us" w:eastAsia="en-US" w:bidi="ar-SA"/>
      </w:rPr>
    </w:lvl>
    <w:lvl w:ilvl="2">
      <w:start w:val="0"/>
      <w:numFmt w:val="bullet"/>
      <w:lvlText w:val="•"/>
      <w:lvlJc w:val="left"/>
      <w:pPr>
        <w:ind w:left="1020" w:hanging="330"/>
      </w:pPr>
      <w:rPr>
        <w:rFonts w:hint="default"/>
        <w:lang w:val="en-us" w:eastAsia="en-US" w:bidi="ar-SA"/>
      </w:rPr>
    </w:lvl>
    <w:lvl w:ilvl="3">
      <w:start w:val="0"/>
      <w:numFmt w:val="bullet"/>
      <w:lvlText w:val="•"/>
      <w:lvlJc w:val="left"/>
      <w:pPr>
        <w:ind w:left="2050" w:hanging="330"/>
      </w:pPr>
      <w:rPr>
        <w:rFonts w:hint="default"/>
        <w:lang w:val="en-us" w:eastAsia="en-US" w:bidi="ar-SA"/>
      </w:rPr>
    </w:lvl>
    <w:lvl w:ilvl="4">
      <w:start w:val="0"/>
      <w:numFmt w:val="bullet"/>
      <w:lvlText w:val="•"/>
      <w:lvlJc w:val="left"/>
      <w:pPr>
        <w:ind w:left="3081" w:hanging="330"/>
      </w:pPr>
      <w:rPr>
        <w:rFonts w:hint="default"/>
        <w:lang w:val="en-us" w:eastAsia="en-US" w:bidi="ar-SA"/>
      </w:rPr>
    </w:lvl>
    <w:lvl w:ilvl="5">
      <w:start w:val="0"/>
      <w:numFmt w:val="bullet"/>
      <w:lvlText w:val="•"/>
      <w:lvlJc w:val="left"/>
      <w:pPr>
        <w:ind w:left="4112" w:hanging="330"/>
      </w:pPr>
      <w:rPr>
        <w:rFonts w:hint="default"/>
        <w:lang w:val="en-us" w:eastAsia="en-US" w:bidi="ar-SA"/>
      </w:rPr>
    </w:lvl>
    <w:lvl w:ilvl="6">
      <w:start w:val="0"/>
      <w:numFmt w:val="bullet"/>
      <w:lvlText w:val="•"/>
      <w:lvlJc w:val="left"/>
      <w:pPr>
        <w:ind w:left="5143" w:hanging="330"/>
      </w:pPr>
      <w:rPr>
        <w:rFonts w:hint="default"/>
        <w:lang w:val="en-us" w:eastAsia="en-US" w:bidi="ar-SA"/>
      </w:rPr>
    </w:lvl>
    <w:lvl w:ilvl="7">
      <w:start w:val="0"/>
      <w:numFmt w:val="bullet"/>
      <w:lvlText w:val="•"/>
      <w:lvlJc w:val="left"/>
      <w:pPr>
        <w:ind w:left="6173" w:hanging="330"/>
      </w:pPr>
      <w:rPr>
        <w:rFonts w:hint="default"/>
        <w:lang w:val="en-us" w:eastAsia="en-US" w:bidi="ar-SA"/>
      </w:rPr>
    </w:lvl>
    <w:lvl w:ilvl="8">
      <w:start w:val="0"/>
      <w:numFmt w:val="bullet"/>
      <w:lvlText w:val="•"/>
      <w:lvlJc w:val="left"/>
      <w:pPr>
        <w:ind w:left="7204" w:hanging="330"/>
      </w:pPr>
      <w:rPr>
        <w:rFonts w:hint="default"/>
        <w:lang w:val="en-us" w:eastAsia="en-US" w:bidi="ar-SA"/>
      </w:rPr>
    </w:lvl>
  </w:abstractNum>
  <w:abstractNum w:abstractNumId="0">
    <w:multiLevelType w:val="hybridMultilevel"/>
    <w:lvl w:ilvl="0">
      <w:start w:val="1"/>
      <w:numFmt w:val="upperLetter"/>
      <w:lvlText w:val="%1."/>
      <w:lvlJc w:val="left"/>
      <w:pPr>
        <w:ind w:left="1019" w:hanging="320"/>
        <w:jc w:val="left"/>
      </w:pPr>
      <w:rPr>
        <w:rFonts w:hint="default"/>
        <w:w w:val="100"/>
        <w:lang w:val="en-us" w:eastAsia="en-US" w:bidi="ar-SA"/>
      </w:rPr>
    </w:lvl>
    <w:lvl w:ilvl="1">
      <w:start w:val="0"/>
      <w:numFmt w:val="bullet"/>
      <w:lvlText w:val="•"/>
      <w:lvlJc w:val="left"/>
      <w:pPr>
        <w:ind w:left="1844" w:hanging="320"/>
      </w:pPr>
      <w:rPr>
        <w:rFonts w:hint="default"/>
        <w:lang w:val="en-us" w:eastAsia="en-US" w:bidi="ar-SA"/>
      </w:rPr>
    </w:lvl>
    <w:lvl w:ilvl="2">
      <w:start w:val="0"/>
      <w:numFmt w:val="bullet"/>
      <w:lvlText w:val="•"/>
      <w:lvlJc w:val="left"/>
      <w:pPr>
        <w:ind w:left="2669" w:hanging="320"/>
      </w:pPr>
      <w:rPr>
        <w:rFonts w:hint="default"/>
        <w:lang w:val="en-us" w:eastAsia="en-US" w:bidi="ar-SA"/>
      </w:rPr>
    </w:lvl>
    <w:lvl w:ilvl="3">
      <w:start w:val="0"/>
      <w:numFmt w:val="bullet"/>
      <w:lvlText w:val="•"/>
      <w:lvlJc w:val="left"/>
      <w:pPr>
        <w:ind w:left="3493" w:hanging="320"/>
      </w:pPr>
      <w:rPr>
        <w:rFonts w:hint="default"/>
        <w:lang w:val="en-us" w:eastAsia="en-US" w:bidi="ar-SA"/>
      </w:rPr>
    </w:lvl>
    <w:lvl w:ilvl="4">
      <w:start w:val="0"/>
      <w:numFmt w:val="bullet"/>
      <w:lvlText w:val="•"/>
      <w:lvlJc w:val="left"/>
      <w:pPr>
        <w:ind w:left="4318" w:hanging="320"/>
      </w:pPr>
      <w:rPr>
        <w:rFonts w:hint="default"/>
        <w:lang w:val="en-us" w:eastAsia="en-US" w:bidi="ar-SA"/>
      </w:rPr>
    </w:lvl>
    <w:lvl w:ilvl="5">
      <w:start w:val="0"/>
      <w:numFmt w:val="bullet"/>
      <w:lvlText w:val="•"/>
      <w:lvlJc w:val="left"/>
      <w:pPr>
        <w:ind w:left="5143" w:hanging="320"/>
      </w:pPr>
      <w:rPr>
        <w:rFonts w:hint="default"/>
        <w:lang w:val="en-us" w:eastAsia="en-US" w:bidi="ar-SA"/>
      </w:rPr>
    </w:lvl>
    <w:lvl w:ilvl="6">
      <w:start w:val="0"/>
      <w:numFmt w:val="bullet"/>
      <w:lvlText w:val="•"/>
      <w:lvlJc w:val="left"/>
      <w:pPr>
        <w:ind w:left="5967" w:hanging="320"/>
      </w:pPr>
      <w:rPr>
        <w:rFonts w:hint="default"/>
        <w:lang w:val="en-us" w:eastAsia="en-US" w:bidi="ar-SA"/>
      </w:rPr>
    </w:lvl>
    <w:lvl w:ilvl="7">
      <w:start w:val="0"/>
      <w:numFmt w:val="bullet"/>
      <w:lvlText w:val="•"/>
      <w:lvlJc w:val="left"/>
      <w:pPr>
        <w:ind w:left="6792" w:hanging="320"/>
      </w:pPr>
      <w:rPr>
        <w:rFonts w:hint="default"/>
        <w:lang w:val="en-us" w:eastAsia="en-US" w:bidi="ar-SA"/>
      </w:rPr>
    </w:lvl>
    <w:lvl w:ilvl="8">
      <w:start w:val="0"/>
      <w:numFmt w:val="bullet"/>
      <w:lvlText w:val="•"/>
      <w:lvlJc w:val="left"/>
      <w:pPr>
        <w:ind w:left="7616" w:hanging="32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BodyText" w:type="paragraph">
    <w:name w:val="Body Text"/>
    <w:basedOn w:val="Normal"/>
    <w:uiPriority w:val="1"/>
    <w:qFormat/>
    <w:pPr>
      <w:spacing w:before="161"/>
      <w:ind w:left="220"/>
    </w:pPr>
    <w:rPr>
      <w:rFonts w:ascii="宋体" w:hAnsi="宋体" w:eastAsia="宋体" w:cs="宋体"/>
      <w:sz w:val="24"/>
      <w:szCs w:val="24"/>
      <w:lang w:val="en-us" w:eastAsia="en-US" w:bidi="ar-SA"/>
    </w:rPr>
  </w:style>
  <w:style w:styleId="Title" w:type="paragraph">
    <w:name w:val="Title"/>
    <w:basedOn w:val="Normal"/>
    <w:uiPriority w:val="1"/>
    <w:qFormat/>
    <w:pPr>
      <w:spacing w:before="44"/>
      <w:ind w:left="914" w:right="1433"/>
      <w:jc w:val="center"/>
    </w:pPr>
    <w:rPr>
      <w:rFonts w:ascii="黑体" w:hAnsi="黑体" w:eastAsia="黑体" w:cs="黑体"/>
      <w:sz w:val="30"/>
      <w:szCs w:val="30"/>
      <w:lang w:val="en-us" w:eastAsia="en-US" w:bidi="ar-SA"/>
    </w:rPr>
  </w:style>
  <w:style w:styleId="ListParagraph" w:type="paragraph">
    <w:name w:val="List Paragraph"/>
    <w:basedOn w:val="Normal"/>
    <w:uiPriority w:val="1"/>
    <w:qFormat/>
    <w:pPr>
      <w:spacing w:before="106"/>
      <w:ind w:left="1011" w:hanging="312"/>
    </w:pPr>
    <w:rPr>
      <w:rFonts w:ascii="宋体" w:hAnsi="宋体" w:eastAsia="宋体" w:cs="宋体"/>
      <w:lang w:val="en-us" w:eastAsia="en-US" w:bidi="ar-SA"/>
    </w:rPr>
  </w:style>
  <w:style w:styleId="TableParagraph" w:type="paragraph">
    <w:name w:val="Table Paragraph"/>
    <w:basedOn w:val="Normal"/>
    <w:uiPriority w:val="1"/>
    <w:qFormat/>
    <w:pPr>
      <w:spacing w:before="175"/>
      <w:ind w:left="333"/>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2021-10-28T01:51:39Z</dcterms:created>
  <dcterms:modified xsi:type="dcterms:W3CDTF">2021-10-28T01:51:39Z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Aspose Ltd.</vt:lpwstr>
  </property>
  <property fmtid="{D5CDD505-2E9C-101B-9397-08002B2CF9AE}" pid="4" name="LastSaved">
    <vt:filetime>2021-10-28T00:00:00Z</vt:filetime>
  </property>
</Properties>
</file>