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480" w:lineRule="auto"/>
        <w:jc w:val="center"/>
        <w:textAlignment w:val="auto"/>
        <w:rPr>
          <w:rFonts w:hint="eastAsia" w:eastAsia="宋体"/>
          <w:b/>
          <w:bCs/>
          <w:sz w:val="32"/>
          <w:szCs w:val="40"/>
          <w:lang w:eastAsia="zh-CN"/>
        </w:rPr>
      </w:pPr>
      <w:r>
        <w:rPr>
          <w:rFonts w:hint="eastAsia"/>
          <w:b/>
          <w:bCs/>
          <w:sz w:val="32"/>
          <w:szCs w:val="40"/>
          <w:lang w:eastAsia="zh-CN"/>
        </w:rPr>
        <w:t>国家开放大学电大《</w:t>
      </w:r>
      <w:r>
        <w:rPr>
          <w:rFonts w:hint="eastAsia"/>
          <w:b/>
          <w:bCs/>
          <w:sz w:val="32"/>
          <w:szCs w:val="40"/>
        </w:rPr>
        <w:t>会计实务专题</w:t>
      </w:r>
      <w:r>
        <w:rPr>
          <w:rFonts w:hint="eastAsia"/>
          <w:b/>
          <w:bCs/>
          <w:sz w:val="32"/>
          <w:szCs w:val="40"/>
          <w:lang w:eastAsia="zh-CN"/>
        </w:rPr>
        <w:t>》</w:t>
      </w:r>
      <w:r>
        <w:rPr>
          <w:rFonts w:hint="eastAsia"/>
          <w:b/>
          <w:bCs/>
          <w:sz w:val="32"/>
          <w:szCs w:val="40"/>
        </w:rPr>
        <w:t>形考作业</w:t>
      </w:r>
      <w:r>
        <w:rPr>
          <w:rFonts w:hint="eastAsia"/>
          <w:b/>
          <w:bCs/>
          <w:sz w:val="32"/>
          <w:szCs w:val="40"/>
          <w:lang w:val="en-US" w:eastAsia="zh-CN"/>
        </w:rPr>
        <w:t>1-4</w:t>
      </w:r>
      <w:r>
        <w:rPr>
          <w:rFonts w:hint="eastAsia"/>
          <w:b/>
          <w:bCs/>
          <w:sz w:val="32"/>
          <w:szCs w:val="40"/>
          <w:lang w:eastAsia="zh-CN"/>
        </w:rPr>
        <w:t>网考题库及答案</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eastAsia="宋体"/>
          <w:b/>
          <w:bCs/>
          <w:sz w:val="21"/>
          <w:szCs w:val="24"/>
          <w:lang w:eastAsia="zh-CN"/>
        </w:rPr>
      </w:pPr>
      <w:r>
        <w:rPr>
          <w:rFonts w:hint="eastAsia"/>
          <w:b/>
          <w:bCs/>
          <w:sz w:val="21"/>
          <w:szCs w:val="24"/>
          <w:lang w:eastAsia="zh-CN"/>
        </w:rPr>
        <w:t>一、单选题</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1.制造费用科目的借方发生额合计数在期末通常应及时结转至（）科目。</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生产成本</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2.《企业会计准则第1号—存货》规定，在资产负债表日，存货应当按照成本与可变现净值孰低计量，存货成本高于其可变现净值的，应当计提存货跌价准备。这里的存货的成本是指（）。选出下列最准确的选项。</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账面价值</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3.在下列各项资产中，企业以前计提减值准备的影响因素已消失的，应在已计提的减值准备金额内转回的是（）。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原材料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4.存货如果出现盘盈的情况，，在无法确定具体原因的情形下，一般做冲减企业的（）处理。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管理费用</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5.存货的账面价值是指各个存货科目的借方科目余额(账面余额)合计数减去（）后的净额。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存货跌价准备</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6.A公司是增值税一般纳税人。2×21年10月11日外购一批原材料，取得的增值税专用发票上注明的价款为100万元，增值税税额为13万元。支付原材料运费取得的增值税专用发票上注明的价款为2万元。不考虑其他因素，该批原材料的初始入账金额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102</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7.下列关于存货的表述中，正确的是（）。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商品流通企业在采购商品过程中发生的运输费、装卸费、保险费以及其他可归属于存货采购成本的费用等，应当计入存货的采购成本，也可以先进行归集，期末再根据所购商品的存销情况进行分摊</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8.A企业为增值税一般纳税人，购买原材料取得增值税专用发票上注明的价款为10 000元，增值税税额为1 600元（已经税务机关认证），款项以银行本票结算。不考虑其他因素，该企业购买原材料会计处理正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借：原材料10 000</w:t>
      </w:r>
    </w:p>
    <w:p>
      <w:pPr>
        <w:keepNext w:val="0"/>
        <w:keepLines w:val="0"/>
        <w:pageBreakBefore w:val="0"/>
        <w:widowControl/>
        <w:kinsoku/>
        <w:wordWrap/>
        <w:overflowPunct/>
        <w:topLinePunct w:val="0"/>
        <w:autoSpaceDE/>
        <w:autoSpaceDN/>
        <w:bidi w:val="0"/>
        <w:adjustRightInd/>
        <w:snapToGrid/>
        <w:spacing w:after="0" w:line="480" w:lineRule="auto"/>
        <w:ind w:firstLine="1897" w:firstLineChars="900"/>
        <w:textAlignment w:val="auto"/>
        <w:rPr>
          <w:rFonts w:hint="eastAsia"/>
          <w:b/>
          <w:bCs/>
          <w:color w:val="FF0000"/>
          <w:sz w:val="21"/>
          <w:szCs w:val="24"/>
        </w:rPr>
      </w:pPr>
      <w:r>
        <w:rPr>
          <w:rFonts w:hint="eastAsia"/>
          <w:b/>
          <w:bCs/>
          <w:color w:val="FF0000"/>
          <w:sz w:val="21"/>
          <w:szCs w:val="24"/>
        </w:rPr>
        <w:t>应交税费——应交增值税（进项税额）1 600</w:t>
      </w:r>
    </w:p>
    <w:p>
      <w:pPr>
        <w:keepNext w:val="0"/>
        <w:keepLines w:val="0"/>
        <w:pageBreakBefore w:val="0"/>
        <w:widowControl/>
        <w:kinsoku/>
        <w:wordWrap/>
        <w:overflowPunct/>
        <w:topLinePunct w:val="0"/>
        <w:autoSpaceDE/>
        <w:autoSpaceDN/>
        <w:bidi w:val="0"/>
        <w:adjustRightInd/>
        <w:snapToGrid/>
        <w:spacing w:after="0" w:line="480" w:lineRule="auto"/>
        <w:ind w:firstLine="1687" w:firstLineChars="800"/>
        <w:textAlignment w:val="auto"/>
        <w:rPr>
          <w:rFonts w:hint="eastAsia"/>
          <w:b/>
          <w:bCs/>
          <w:color w:val="FF0000"/>
          <w:sz w:val="21"/>
          <w:szCs w:val="24"/>
        </w:rPr>
      </w:pPr>
      <w:r>
        <w:rPr>
          <w:rFonts w:hint="eastAsia"/>
          <w:b/>
          <w:bCs/>
          <w:color w:val="FF0000"/>
          <w:sz w:val="21"/>
          <w:szCs w:val="24"/>
        </w:rPr>
        <w:t>贷：其他货币资金——银行本票11 600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9.A公司2×21年12月31日库存零部件50套用于生产甲产品，每套零部件的账面成本为12万元，零部件市场价格为10万元。该批零部件可用于加工50件甲产品，将每套零部件加工成甲产品尚需投入8万元。甲产品2×21年12月31日的市场价格为每件17万元，估计销售过程中每件将发生销售费用及相关税费1万元。该零部件此前未计提存货跌价准备，A公司2×21年12月31日该配件应计提的存货跌价准备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200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10.某企业为增值税一般纳税人，适用的增值税税率为16％。本月销售一批原材料，价税合计为5 916元，该批材料实际成本为4 000元，已提存货跌价准备1 000元，不考虑其他因素，该企业销售材料应确认的损益为（）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2100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1.某企业自行建造的一条生产线于2×20年6月30日达到预定可使用状态并投入使用，该生产线建造成本为740万元，预计使用年限为5年，预计净残值为20万元。在采用年数总和法计提折旧的情况下，2×20年该生产线应计提的折旧额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120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2.2×21年11月20日，甲公司购进一台需要安装的A设备，取得的增值税专用发票注明的设备价款为950万元，可抵扣增值税进项税额为123.5万元，款项已通过银行支付。安装A设备时，甲公司领用原材料36万元（不含增值税额），支付安装人员工资14万元。2×21年12月30日，A设备达到预定可使用状态。A设备预计使用年限为5年，预计净残值率为5％，甲公司采用双倍余额递减法计提折旧。甲公司2×24年度对A设备计提的折旧额是（</w:t>
      </w:r>
      <w:r>
        <w:rPr>
          <w:rFonts w:hint="eastAsia"/>
          <w:sz w:val="21"/>
          <w:szCs w:val="24"/>
        </w:rPr>
        <w:tab/>
      </w:r>
      <w:r>
        <w:rPr>
          <w:rFonts w:hint="eastAsia"/>
          <w:sz w:val="21"/>
          <w:szCs w:val="24"/>
        </w:rPr>
        <w:t>）万元。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144</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3.房地产开发企业的下列各项中，符合固定资产定义的是()。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作为本企业办公用房购入的写字楼</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4.出售交易性金融资产收到200万元，该投资账面余额185万元（其中：成本165万元，公允价值变动明细科目借方20万元），转让该金融商品应缴纳的增值税0.57万元，出售该交易性金融资产确认的“投资收益”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14.43</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5.企业取得以摊余成本计量的金融资产时支付的价款中包含的已到付息期但尚未领取的利息，应计入的会计科目是（）。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应收利息</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6.2×20年1月1日，M企业以1 600万元的价格购入面值为1500万元的分期付息、到期还本的公司债券，其中包含已到付息期但尚未领取的利息150万元和相关税费20万元。该债券票面年利率为10％，期限为5年。M企业将其确认为债权投资，则2020年1月1日该债权投资的初始入账价值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1450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7.下列各项中，应借记“应收票据”科目的是（）。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提供服务收到商业承兑汇票</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8.下列各项中，企业应确认为无形资产的是（）。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外购的专利权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9.2×20年1月1日，A公司与B公司签订租赁合同，B公司将其一栋建筑物租赁给A公司。A公司租赁期开始日尚未支付的租赁付款额的现值为5000万元，获得租赁激励金额为50万元。A公司还支付租赁合同佣金20万元。不考虑其他因素，A公司该项使用权资产的初始成本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4970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0.下列各项中，应列入利润表“资产减值损失”项目的是（）。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固定资产减值损失</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1.嘉松公司持有的下列房地产中，不属于投资性房地产的是（）。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持有并准备增值后转让的建筑物</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2.企业取得投资性房地产发生的下列支出中，不应计入投资性房地产成本的是（）。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业务人员差旅费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3.某企业采用投资性房地产的会计处理成本模式进行后续计量，下列说法中不正确的是（）。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不得转为公允价值模式计量</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4.2×20年3月1日，甲公司外购一栋写字楼直接租赁给乙公司使用，租赁期为6年，每年租金为180万元。甲公司对投资性房地产采用公允价值模式进行后续计量，该写字楼的买价为3000万元；2×20年12月31日，该写字楼的公允价值为3200万元。假设不考虑相关税费，则该项投资性房地产对甲公司2×20年度利润总额的影响金额是（）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350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5.2×22年7月1日，某企业向银行借入生产经营用短期借款200万元，期限为6个月，年利率为4.5％，本金到期后一次归还，利息按月计提、按季度支付，假定9月20日收到计息通知。下列各项中，该企业9月20日支付利息的会计处理正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借：财务费用5000</w:t>
      </w:r>
    </w:p>
    <w:p>
      <w:pPr>
        <w:keepNext w:val="0"/>
        <w:keepLines w:val="0"/>
        <w:pageBreakBefore w:val="0"/>
        <w:widowControl/>
        <w:kinsoku/>
        <w:wordWrap/>
        <w:overflowPunct/>
        <w:topLinePunct w:val="0"/>
        <w:autoSpaceDE/>
        <w:autoSpaceDN/>
        <w:bidi w:val="0"/>
        <w:adjustRightInd/>
        <w:snapToGrid/>
        <w:spacing w:after="0" w:line="480" w:lineRule="auto"/>
        <w:ind w:firstLine="1897" w:firstLineChars="900"/>
        <w:textAlignment w:val="auto"/>
        <w:rPr>
          <w:rFonts w:hint="eastAsia"/>
          <w:b/>
          <w:bCs/>
          <w:color w:val="FF0000"/>
          <w:sz w:val="21"/>
          <w:szCs w:val="24"/>
        </w:rPr>
      </w:pPr>
      <w:r>
        <w:rPr>
          <w:rFonts w:hint="eastAsia"/>
          <w:b/>
          <w:bCs/>
          <w:color w:val="FF0000"/>
          <w:sz w:val="21"/>
          <w:szCs w:val="24"/>
        </w:rPr>
        <w:t>应付利息15000</w:t>
      </w:r>
    </w:p>
    <w:p>
      <w:pPr>
        <w:keepNext w:val="0"/>
        <w:keepLines w:val="0"/>
        <w:pageBreakBefore w:val="0"/>
        <w:widowControl/>
        <w:kinsoku/>
        <w:wordWrap/>
        <w:overflowPunct/>
        <w:topLinePunct w:val="0"/>
        <w:autoSpaceDE/>
        <w:autoSpaceDN/>
        <w:bidi w:val="0"/>
        <w:adjustRightInd/>
        <w:snapToGrid/>
        <w:spacing w:after="0" w:line="480" w:lineRule="auto"/>
        <w:ind w:firstLine="1687" w:firstLineChars="800"/>
        <w:textAlignment w:val="auto"/>
        <w:rPr>
          <w:rFonts w:hint="eastAsia"/>
          <w:b/>
          <w:bCs/>
          <w:color w:val="FF0000"/>
          <w:sz w:val="21"/>
          <w:szCs w:val="24"/>
        </w:rPr>
      </w:pPr>
      <w:r>
        <w:rPr>
          <w:rFonts w:hint="eastAsia"/>
          <w:b/>
          <w:bCs/>
          <w:color w:val="FF0000"/>
          <w:sz w:val="21"/>
          <w:szCs w:val="24"/>
        </w:rPr>
        <w:t>贷：银行存款20000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6.某企业某年1月1日以短期租赁方式租入管理用办公设备一批，月租金为2000元，每季度末一次性支付本季度租金。不考虑其他因素，该企业1月31日计提租入设备租金时相关会计科目处理正确的是（）。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贷记“其他应付款”科目2000元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7.2×25年某企业将自产的一批产品作为非货币性福利发给车间的生产工人，该批产品不含税售价为50000元，适用的增值税税率为13％，成本为35000元，下列各项中，发放该项非货币性福利应计入生产成本的金额为（）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56500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8.2×19年1月1日，甲事业单位以银行存款2000万元取得乙公司40%的有表决权股份，对该股权投资采用权益法核算。2×19年度乙公司实现净利润500万元；2×20年3月1日，乙公司宣告分派现金股利200万元；2×20年3月20日，乙公司支付了现金股利。2×20年度乙公司发生亏损100万元。不考虑其他因素，甲事业单位2×20年12月31日长期股权投资的账面余额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2080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9.2×18年1月1日，甲公司以定向增发1500万股普通股（每股面值为1元、公允价值为6元）的方式取得乙公司80%股权，另以银行存款支付股票发行费用300万元，相关手续于当日完成，取得了乙公司的控制权，该企业合并不属于反向购买。当日，乙公司所有者权益的账面价值为12000万元。本次投资前，甲公司与乙公司不存在关联方关系。不考虑其他因素，甲公司该长期股权投资的初始投资成本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9000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0.2×25年某公司的合营企业乙公司发生的下列交易或事项中，将对甲公司当年投资收益产生影响的是（）。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乙公司当年发生的电视台广告费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1.某企业发行分期付息、到期一次还本的债券，按其票面利率计算确定的应付未付利息，应该记入（）科目。</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应付利息</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2.2022年初某公司“盈余公积”余额为120万元，当年实现利润总额900万元，所得税费用300万，按10%提取盈余公积，经股东大会批准用盈余公积50万元转增资本，2022年12月31日，该公司资产负债表中盈余公积年末余额为（）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130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3.2022年1月1日，某股份有限公司未分配利润为100万元，2022年度实现净利润400万元，法定盈余公积的提取率为10％，不考虑其他因素，下列关于盈余公积的账务处理正确的是（）。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借：利润分配——提取法定盈余公积400 000</w:t>
      </w:r>
    </w:p>
    <w:p>
      <w:pPr>
        <w:keepNext w:val="0"/>
        <w:keepLines w:val="0"/>
        <w:pageBreakBefore w:val="0"/>
        <w:widowControl/>
        <w:kinsoku/>
        <w:wordWrap/>
        <w:overflowPunct/>
        <w:topLinePunct w:val="0"/>
        <w:autoSpaceDE/>
        <w:autoSpaceDN/>
        <w:bidi w:val="0"/>
        <w:adjustRightInd/>
        <w:snapToGrid/>
        <w:spacing w:after="0" w:line="480" w:lineRule="auto"/>
        <w:ind w:firstLine="1897" w:firstLineChars="900"/>
        <w:textAlignment w:val="auto"/>
        <w:rPr>
          <w:rFonts w:hint="eastAsia"/>
          <w:b/>
          <w:bCs/>
          <w:color w:val="FF0000"/>
          <w:sz w:val="21"/>
          <w:szCs w:val="24"/>
        </w:rPr>
      </w:pPr>
      <w:r>
        <w:rPr>
          <w:rFonts w:hint="eastAsia"/>
          <w:b/>
          <w:bCs/>
          <w:color w:val="FF0000"/>
          <w:sz w:val="21"/>
          <w:szCs w:val="24"/>
        </w:rPr>
        <w:t>贷：盈余公积400 000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4.下列各项中，应计入期间费用的是（）。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支付给产品销售人员的佣金</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5.下列各项中，不属于所有者权益的是（）。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递延收益</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6.收入确认五步法中的最后一步是（）。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履行履约义务确认收入</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7.在2022年11月，企业与客户签订合同，翻新三层楼建筑，并安装新电梯，总对价为500万，总履约成本为400万，其中电梯150万。电梯2022年12月到达施工现场，但要到2023年6月才能安装完成。截至2022年12月31日，企业观察到发生的其他成本（不包括电梯）为50万，按照投入法（不包含电梯采购成本）计算履行进度为（）。</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20%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8.下列各项中，不影响企业营业利润的是（）。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违反合同约定支付的违约金</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9.下列各项中，不属于“财务费用”科目核算内容的是（）。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销售商品发生的现金折扣</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4</w:t>
      </w:r>
      <w:r>
        <w:rPr>
          <w:rFonts w:hint="eastAsia"/>
          <w:sz w:val="21"/>
          <w:szCs w:val="24"/>
        </w:rPr>
        <w:t>0.下列属于非流动资产的是（）。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固定资产</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eastAsia="宋体"/>
          <w:b/>
          <w:bCs/>
          <w:sz w:val="21"/>
          <w:szCs w:val="24"/>
          <w:lang w:eastAsia="zh-CN"/>
        </w:rPr>
      </w:pPr>
      <w:r>
        <w:rPr>
          <w:rFonts w:hint="eastAsia"/>
          <w:b/>
          <w:bCs/>
          <w:sz w:val="21"/>
          <w:szCs w:val="24"/>
          <w:lang w:eastAsia="zh-CN"/>
        </w:rPr>
        <w:t>二、多选题</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1.下列属于企业账簿中所记载的存货应当具备相应的物权证明的是（）。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售货方的收款证明</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支付结算单据</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买卖合同</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购货发票</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2.下列各项可直接记入“生产成本”科目进行归集是（）。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生产该产品的工人的薪酬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正确答案：正确答案：</w:t>
      </w:r>
      <w:r>
        <w:rPr>
          <w:rFonts w:hint="eastAsia"/>
          <w:b/>
          <w:bCs/>
          <w:color w:val="FF0000"/>
          <w:sz w:val="21"/>
          <w:szCs w:val="24"/>
        </w:rPr>
        <w:t>生产过程中使用的原材料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3.采用存货估计售价减去估计的销售费用和相关税费后的金额来计算可变现净值，是指下列哪些存货（）。</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库存商品</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可直接出售的低值易耗品</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正确答案：正确答案：</w:t>
      </w:r>
      <w:r>
        <w:rPr>
          <w:rFonts w:hint="eastAsia"/>
          <w:b/>
          <w:bCs/>
          <w:color w:val="FF0000"/>
          <w:sz w:val="21"/>
          <w:szCs w:val="24"/>
        </w:rPr>
        <w:t>原材料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4.会计科目可分为总分类科目和明细分类科目，下列属于明细分类科目的是（）。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固定资产—机器设备</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正确答案：正确答案：</w:t>
      </w:r>
      <w:r>
        <w:rPr>
          <w:rFonts w:hint="eastAsia"/>
          <w:b/>
          <w:bCs/>
          <w:color w:val="FF0000"/>
          <w:sz w:val="21"/>
          <w:szCs w:val="24"/>
        </w:rPr>
        <w:t>应付账款---A公司</w:t>
      </w:r>
    </w:p>
    <w:p>
      <w:pPr>
        <w:keepNext w:val="0"/>
        <w:keepLines w:val="0"/>
        <w:pageBreakBefore w:val="0"/>
        <w:widowControl/>
        <w:kinsoku/>
        <w:wordWrap/>
        <w:overflowPunct/>
        <w:topLinePunct w:val="0"/>
        <w:autoSpaceDE/>
        <w:autoSpaceDN/>
        <w:bidi w:val="0"/>
        <w:adjustRightInd/>
        <w:snapToGrid/>
        <w:spacing w:after="0" w:line="480" w:lineRule="auto"/>
        <w:ind w:left="0" w:leftChars="0" w:firstLine="399" w:firstLineChars="190"/>
        <w:textAlignment w:val="auto"/>
        <w:rPr>
          <w:rFonts w:hint="eastAsia"/>
          <w:sz w:val="21"/>
          <w:szCs w:val="24"/>
        </w:rPr>
      </w:pPr>
      <w:r>
        <w:rPr>
          <w:rFonts w:hint="eastAsia"/>
          <w:sz w:val="21"/>
          <w:szCs w:val="24"/>
        </w:rPr>
        <w:t>5.下列属于外来原始凭证的有（）。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发票</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火车票</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6</w:t>
      </w:r>
      <w:r>
        <w:rPr>
          <w:rFonts w:hint="eastAsia"/>
          <w:sz w:val="21"/>
          <w:szCs w:val="24"/>
        </w:rPr>
        <w:t>.下列有关固定资产处置的论断中，正确的有（）。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固定资产预期通过使用或处置不能产生经济利益时应终止确认</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固定资产处置损失列支于“资产处置损益”科目中</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7</w:t>
      </w:r>
      <w:r>
        <w:rPr>
          <w:rFonts w:hint="eastAsia"/>
          <w:sz w:val="21"/>
          <w:szCs w:val="24"/>
        </w:rPr>
        <w:t>.下列各项中，影响固定资产处置损益的有()。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固定资产原价</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8</w:t>
      </w:r>
      <w:r>
        <w:rPr>
          <w:rFonts w:hint="eastAsia"/>
          <w:sz w:val="21"/>
          <w:szCs w:val="24"/>
        </w:rPr>
        <w:t>.下列各项经济业务中，应通过“投资收益”科目核算交易性金融资产的有（）。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持有期间被投资单位宣告分派的现金股利</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取得时支付的交易费用</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出售时公允价值与其账面余额的差额</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9</w:t>
      </w:r>
      <w:r>
        <w:rPr>
          <w:rFonts w:hint="eastAsia"/>
          <w:sz w:val="21"/>
          <w:szCs w:val="24"/>
        </w:rPr>
        <w:t>.下列各项中，应计入发生当期损益的有（)。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无形资产的研究费用</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无形资产后续支出</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为宣传企业商标而支付的广告费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10</w:t>
      </w:r>
      <w:r>
        <w:rPr>
          <w:rFonts w:hint="eastAsia"/>
          <w:sz w:val="21"/>
          <w:szCs w:val="24"/>
        </w:rPr>
        <w:t>.下列关于无形资产的会计处理中，正确的有（）。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超过正常信用期分期付款且具有融资性质的购入无形资产，应按购买价款的现值确定其成本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使用寿命不确定的无形资产，在持有期间不需要摊销，但至少应于每年年末进行减值测试</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11.企业下列投资中，不应采用长期股权投资权益法进行后续计量的有（）。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公允价值计量且其变动计入当期损益的金融资产</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小企业持有的长期股权投资</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对子公司的投资</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12.下列关于处置长期股权投资的说法中不正确的有（）。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采用成本法核算的长期股权投资，处置时应当将其账面价值与实际收到价款的差额计入资本公积中</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采用权益法核算的长期股权投资，应按结转的长期股权投资的投资成本比例将可转损益的其他综合收益转入资本公积——其他资本公积</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13.下列属于投资性房地产核算范围的有（）。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工业企业持有并准备增值后转让的土地使用权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企业出租的土地使用权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企业出租的办公楼</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14.下列各项中，应作为职工薪酬计入相关资产成本的有（）。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生产职工的伙食补贴</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材料入库前挑选整理人员工资</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15.下列各项中，应通过“应交税费”科目核算的有（）。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开采矿产品应交的资源税</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销售应税消费品应交的消费税</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发放职工薪酬代扣代交的个人所得税</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16</w:t>
      </w:r>
      <w:r>
        <w:rPr>
          <w:rFonts w:hint="eastAsia"/>
          <w:sz w:val="21"/>
          <w:szCs w:val="24"/>
        </w:rPr>
        <w:t>.下列各项中，引起企业所有者权益总额发生增减变动的有（）。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用盈余公积发放现金股利</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用净利润发放现金股利</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17</w:t>
      </w:r>
      <w:r>
        <w:rPr>
          <w:rFonts w:hint="eastAsia"/>
          <w:sz w:val="21"/>
          <w:szCs w:val="24"/>
        </w:rPr>
        <w:t>.下列项目中，属于借款费用的有（）。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借款手续费</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外币借款发生的汇兑差额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发行公司债券折价的摊销</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18</w:t>
      </w:r>
      <w:r>
        <w:rPr>
          <w:rFonts w:hint="eastAsia"/>
          <w:sz w:val="21"/>
          <w:szCs w:val="24"/>
        </w:rPr>
        <w:t>.下列各项中，关于留存收益的表述正确的有（）。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法定盈余公积经批准可用于转增资本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“未分配利润”明细科目年末借方余额表示累积的亏损额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留存收益包括盈余公积和未分配利润</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盈余公积的贷方余额反映盈余公积的累积结存数</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19</w:t>
      </w:r>
      <w:r>
        <w:rPr>
          <w:rFonts w:hint="eastAsia"/>
          <w:sz w:val="21"/>
          <w:szCs w:val="24"/>
        </w:rPr>
        <w:t>.下列各项中应通过“长期应付款”科目核算的有（）。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应付融资租入固定资产的租赁费</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超过正常信用条件延期付款实质上具有融资租赁性质的应付款</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20</w:t>
      </w:r>
      <w:r>
        <w:rPr>
          <w:rFonts w:hint="eastAsia"/>
          <w:sz w:val="21"/>
          <w:szCs w:val="24"/>
        </w:rPr>
        <w:t>.下列各项中，关于公司资本公积的表述正确的有（）。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资本公积可以用于转增资本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溢价发行股票发生的相关交易费用冲减资本公积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资本公积包括资本溢价和其他资本公积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资本公积体转增资本时，留存的资本公积不得少于转增前注册资本的25%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eastAsia="宋体"/>
          <w:b/>
          <w:bCs/>
          <w:sz w:val="21"/>
          <w:szCs w:val="24"/>
          <w:lang w:eastAsia="zh-CN"/>
        </w:rPr>
      </w:pPr>
      <w:r>
        <w:rPr>
          <w:rFonts w:hint="eastAsia"/>
          <w:b/>
          <w:bCs/>
          <w:sz w:val="21"/>
          <w:szCs w:val="24"/>
          <w:lang w:eastAsia="zh-CN"/>
        </w:rPr>
        <w:t>三、判断题</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.进项税额其实是企业垫付的留待从销项税额中抵扣的税额，可以将其理解为一项债务(用于冲抵当期的销项税额)。（）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.生产成本科目期末余额如果在借方，反映企业尚未完成全部工序的在产品的成本。（）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.加权平均法可以随时提供存货账面价值。（）</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4</w:t>
      </w:r>
      <w:r>
        <w:rPr>
          <w:rFonts w:hint="eastAsia"/>
          <w:sz w:val="21"/>
          <w:szCs w:val="24"/>
        </w:rPr>
        <w:t>.在采购价持续上涨的情况下，采用先进先出法、加权平均法、移动加权平均法和后进先出法计算的当期主营业务成本依次递增，期末结存金额依次递减。（）</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5</w:t>
      </w:r>
      <w:r>
        <w:rPr>
          <w:rFonts w:hint="eastAsia"/>
          <w:sz w:val="21"/>
          <w:szCs w:val="24"/>
        </w:rPr>
        <w:t>.资产减值损失账户期末结转后，该科目无余额。（）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6</w:t>
      </w:r>
      <w:r>
        <w:rPr>
          <w:rFonts w:hint="eastAsia"/>
          <w:sz w:val="21"/>
          <w:szCs w:val="24"/>
        </w:rPr>
        <w:t>.企业会计准则规定，在结转销售成本时，如果对已售存货计提了存货跌价准备，则应同时结转已计提的存货跌价准备。（）</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7</w:t>
      </w:r>
      <w:r>
        <w:rPr>
          <w:rFonts w:hint="eastAsia"/>
          <w:sz w:val="21"/>
          <w:szCs w:val="24"/>
        </w:rPr>
        <w:t>.对于企业的财产损溢，先计入“待处理财产损溢”科目，应查明原因，在期末结账前处理完毕，处理后该科目无余额。（）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8</w:t>
      </w:r>
      <w:r>
        <w:rPr>
          <w:rFonts w:hint="eastAsia"/>
          <w:sz w:val="21"/>
          <w:szCs w:val="24"/>
        </w:rPr>
        <w:t>.单位人民币卡账户的资金一律从其基本存款账户转账存入，不得存取现金，将销货收入存入单位卡账户。（）</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9</w:t>
      </w:r>
      <w:r>
        <w:rPr>
          <w:rFonts w:hint="eastAsia"/>
          <w:sz w:val="21"/>
          <w:szCs w:val="24"/>
        </w:rPr>
        <w:t>.根据立法动态看，我国会计实务已经初步形成大中型企业执行企业会计准则体系，小型企业执行《小企业会计准则》的局面。</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10</w:t>
      </w:r>
      <w:r>
        <w:rPr>
          <w:rFonts w:hint="eastAsia"/>
          <w:sz w:val="21"/>
          <w:szCs w:val="24"/>
        </w:rPr>
        <w:t>.企业为建造自用办公楼外购土地使用权支付的价款，应当计入办公楼的建造成本。（）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11</w:t>
      </w:r>
      <w:r>
        <w:rPr>
          <w:rFonts w:hint="eastAsia"/>
          <w:sz w:val="21"/>
          <w:szCs w:val="24"/>
        </w:rPr>
        <w:t>.企业至少应当于每年年度终了对固定资产的使用寿命、预计净残值和折旧方法进行复核，如果发生变化应作为会计政策变更处理。()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12</w:t>
      </w:r>
      <w:r>
        <w:rPr>
          <w:rFonts w:hint="eastAsia"/>
          <w:sz w:val="21"/>
          <w:szCs w:val="24"/>
        </w:rPr>
        <w:t>.工业企业所持有的备品备件和维修设备等资产不应确认为固定资产。()</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13</w:t>
      </w:r>
      <w:r>
        <w:rPr>
          <w:rFonts w:hint="eastAsia"/>
          <w:sz w:val="21"/>
          <w:szCs w:val="24"/>
        </w:rPr>
        <w:t>.接受投资者投入的固定资产按投资协议或合同约定的价值加上应支付的相关税费作为固定资产的入账价值。()</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14</w:t>
      </w:r>
      <w:r>
        <w:rPr>
          <w:rFonts w:hint="eastAsia"/>
          <w:sz w:val="21"/>
          <w:szCs w:val="24"/>
        </w:rPr>
        <w:t>.企业取得交易性金融资产时，应当按照取得时的公允价值加上相关交易费用作为初始入账金额。（）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15</w:t>
      </w:r>
      <w:r>
        <w:rPr>
          <w:rFonts w:hint="eastAsia"/>
          <w:sz w:val="21"/>
          <w:szCs w:val="24"/>
        </w:rPr>
        <w:t>.企业应向保险公司收取的财产损失赔款，应通过“应收账款”科目核算。（）</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16</w:t>
      </w:r>
      <w:r>
        <w:rPr>
          <w:rFonts w:hint="eastAsia"/>
          <w:sz w:val="21"/>
          <w:szCs w:val="24"/>
        </w:rPr>
        <w:t>.企业为职工垫付的水电费应通过“其他应收款”科目核算。（）</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17</w:t>
      </w:r>
      <w:r>
        <w:rPr>
          <w:rFonts w:hint="eastAsia"/>
          <w:sz w:val="21"/>
          <w:szCs w:val="24"/>
        </w:rPr>
        <w:t>.企业外购的有特定产量限制的专利权应当采用产量法进行摊销。()</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18</w:t>
      </w:r>
      <w:r>
        <w:rPr>
          <w:rFonts w:hint="eastAsia"/>
          <w:sz w:val="21"/>
          <w:szCs w:val="24"/>
        </w:rPr>
        <w:t>.无形资产减值损失一经确认，在以后会计期间不得转回。（）</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19</w:t>
      </w:r>
      <w:r>
        <w:rPr>
          <w:rFonts w:hint="eastAsia"/>
          <w:sz w:val="21"/>
          <w:szCs w:val="24"/>
        </w:rPr>
        <w:t>.无形资产报废净损失应计入管理费用。（）</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20</w:t>
      </w:r>
      <w:r>
        <w:rPr>
          <w:rFonts w:hint="eastAsia"/>
          <w:sz w:val="21"/>
          <w:szCs w:val="24"/>
        </w:rPr>
        <w:t>.成本法下，投资方按照其股权投资的成本列报其长期股权投资，除计提长期股权投资减值准备的情形外，对其账面价值不做调整。</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21</w:t>
      </w:r>
      <w:r>
        <w:rPr>
          <w:rFonts w:hint="eastAsia"/>
          <w:sz w:val="21"/>
          <w:szCs w:val="24"/>
        </w:rPr>
        <w:t>.企业在长期股权投资持有期间所取得的现金股利，应计入投资收益。</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22</w:t>
      </w:r>
      <w:r>
        <w:rPr>
          <w:rFonts w:hint="eastAsia"/>
          <w:sz w:val="21"/>
          <w:szCs w:val="24"/>
        </w:rPr>
        <w:t>.对子公司、合营企业及联营企业的股权投资若存在减值迹象，长期股权投资的可回收金额低于其账面价值时，应按两者的差额计提长期股权投资减值准备。</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23</w:t>
      </w:r>
      <w:r>
        <w:rPr>
          <w:rFonts w:hint="eastAsia"/>
          <w:sz w:val="21"/>
          <w:szCs w:val="24"/>
        </w:rPr>
        <w:t>.已采用成本模式计量的投资性房地产不得从成本模式转为公允价值模式。</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24</w:t>
      </w:r>
      <w:r>
        <w:rPr>
          <w:rFonts w:hint="eastAsia"/>
          <w:sz w:val="21"/>
          <w:szCs w:val="24"/>
        </w:rPr>
        <w:t>.只有在有确凿证据表明投资性房地产的公允价值能够持续可靠取得的情况下，企业才可以对投资性房地产采用公允价值模式进行后续计量。</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25</w:t>
      </w:r>
      <w:r>
        <w:rPr>
          <w:rFonts w:hint="eastAsia"/>
          <w:sz w:val="21"/>
          <w:szCs w:val="24"/>
        </w:rPr>
        <w:t>.自用房地产或存货在转换为采用公允价值模式计量的投资性房地产时，投资性房地产应当按照转换当日的公允价值计量，公允价值低于原账面价值的差额计入其他综合收益。</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26</w:t>
      </w:r>
      <w:r>
        <w:rPr>
          <w:rFonts w:hint="eastAsia"/>
          <w:sz w:val="21"/>
          <w:szCs w:val="24"/>
        </w:rPr>
        <w:t>.小规模纳税人企业购进货物和接受应税劳务时支付的增值税，记入“应交税费——应交增值税（进项税额）”科目核算。</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27</w:t>
      </w:r>
      <w:r>
        <w:rPr>
          <w:rFonts w:hint="eastAsia"/>
          <w:sz w:val="21"/>
          <w:szCs w:val="24"/>
        </w:rPr>
        <w:t>.消费税有从价定率、从量定额、复合计税（简称复合计税）三种征收方法。</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28</w:t>
      </w:r>
      <w:r>
        <w:rPr>
          <w:rFonts w:hint="eastAsia"/>
          <w:sz w:val="21"/>
          <w:szCs w:val="24"/>
        </w:rPr>
        <w:t>.企业根据股东大会或类似机构审议批准的利润分配方案，确认应付给投资者的现金股利或股票股利时，借记“利润分配”科目，贷记“应付股利”科目。向投资者实际发放股利或利润时，借记“应付股利”科目，贷记“银行存款”等科目</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29</w:t>
      </w:r>
      <w:r>
        <w:rPr>
          <w:rFonts w:hint="eastAsia"/>
          <w:sz w:val="21"/>
          <w:szCs w:val="24"/>
        </w:rPr>
        <w:t>.对于以企业自产产品发放给职工作为福利的情形，企业应按照该产品的公允价值和相关税费计算应计入成本费用的职工薪酬金额，同时确认为其他业务收入。</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30</w:t>
      </w:r>
      <w:r>
        <w:rPr>
          <w:rFonts w:hint="eastAsia"/>
          <w:sz w:val="21"/>
          <w:szCs w:val="24"/>
        </w:rPr>
        <w:t>.通俗地说，资本公积就是归属于全体资本投入者的公共积累。（）</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1.在资本化期间内，每一会计期间的利息资本化金额，不应当超过当期相关借款实际发生的利息金额。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2.采用实际利率法对应付债券折价进行摊销，由于债券未摊销折价逐期减少，因而计算出来的利息费用也就随之逐期减少。（）</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3.预付账款属于流动负债。（）</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4.如果企业清偿预计负债所需的支出预期将由第三方补偿，则可以将第三方补偿金额作为资产单独确认。（）</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5.与企业日常活动相关的政府补助，应当按照经济业务实质，计入其他收益或冲减相关成本费用。（）</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36</w:t>
      </w:r>
      <w:r>
        <w:rPr>
          <w:rFonts w:hint="eastAsia"/>
          <w:sz w:val="21"/>
          <w:szCs w:val="24"/>
        </w:rPr>
        <w:t>.风险与报酬转移属于收入准则下控制权转移的标准。（）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37</w:t>
      </w:r>
      <w:r>
        <w:rPr>
          <w:rFonts w:hint="eastAsia"/>
          <w:sz w:val="21"/>
          <w:szCs w:val="24"/>
        </w:rPr>
        <w:t>.资本公积可用于转增资本。（）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38</w:t>
      </w:r>
      <w:r>
        <w:rPr>
          <w:rFonts w:hint="eastAsia"/>
          <w:sz w:val="21"/>
          <w:szCs w:val="24"/>
        </w:rPr>
        <w:t>.盈余公积只能用来弥补亏损，不能用来转增资本。（）</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39</w:t>
      </w:r>
      <w:r>
        <w:rPr>
          <w:rFonts w:hint="eastAsia"/>
          <w:sz w:val="21"/>
          <w:szCs w:val="24"/>
        </w:rPr>
        <w:t>.为客户提供的常规或反复的服务，如清洁服务属于在某一时段内履行履约义务。（）</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40</w:t>
      </w:r>
      <w:r>
        <w:rPr>
          <w:rFonts w:hint="eastAsia"/>
          <w:sz w:val="21"/>
          <w:szCs w:val="24"/>
        </w:rPr>
        <w:t>.存货跌价准备账户期末余额在借方，反映企业已计提但尚未转销的存货跌价准备。（）</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lang w:eastAsia="zh-CN"/>
        </w:rPr>
        <w:t>正确答案：</w:t>
      </w:r>
      <w:r>
        <w:rPr>
          <w:rFonts w:hint="eastAsia"/>
          <w:b/>
          <w:bCs/>
          <w:color w:val="FF0000"/>
          <w:sz w:val="21"/>
          <w:szCs w:val="24"/>
        </w:rPr>
        <w:t>错</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eastAsia="宋体"/>
          <w:b/>
          <w:bCs/>
          <w:sz w:val="21"/>
          <w:szCs w:val="24"/>
          <w:lang w:eastAsia="zh-CN"/>
        </w:rPr>
      </w:pPr>
      <w:r>
        <w:rPr>
          <w:rFonts w:hint="eastAsia"/>
          <w:b/>
          <w:bCs/>
          <w:sz w:val="21"/>
          <w:szCs w:val="24"/>
          <w:lang w:eastAsia="zh-CN"/>
        </w:rPr>
        <w:t>四、简答题</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1</w:t>
      </w:r>
      <w:r>
        <w:rPr>
          <w:rFonts w:hint="eastAsia"/>
          <w:sz w:val="21"/>
          <w:szCs w:val="24"/>
        </w:rPr>
        <w:t>.A公司为增值税一般纳税人，适用的增值税税率为16％，原材料采用实际成本法核算，发出材料采用先进先出法计价。2×21年8月初，甲材料库存5万千克，金额为36万元，“存货跌价准备——甲材料”贷方金额为1万元，A公司6月份发生的与甲材料有关的业务如下：</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（1）5日，购入甲材料10万千克，以银行存款支付价款60万元，增值税税额9.6万元材料尚未收到，10日该批甲材料运达企业并验收入库。</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（2）12日，销售部门领用甲材料6万千克，13日行政管理部门领用甲材料1万千克。</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（3）15日，发出甲材料4万千克委托B公司加工商品，以银行存款支付不含税运费2万元，増值税税额0.2万元。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（4）25日，因自然灾害导致甲材料毁损1万千克，根据保险合同规定，应由保险公司赔偿2万元，其余损失由A公司承担。</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（5）30日，由于市场价格下跌，预计结存甲材料的可变现净值为15万元，期初的存货跌价准备未转销。</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要求：</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根据上述资料，假定A公司取得的增值税专用发票已经税务机关认证，不考虑其他因素，分析回答下列问题（答案中的金额单位用万元表示）。</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1）根据以上资料，请计算甲公司6月末应计提的存货跌价准备。</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答：1）根据期初资料、资料（1）至（5），计算A公司6月末应计提的存货跌价准备。</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期末结存甲材料数量＝5＋10－6－1－4－1＝3（万千克）。</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期末结存甲材料金额＝3×60÷10＝18（万元）。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sz w:val="21"/>
          <w:szCs w:val="24"/>
        </w:rPr>
      </w:pPr>
      <w:r>
        <w:rPr>
          <w:rFonts w:hint="eastAsia"/>
          <w:b/>
          <w:bCs/>
          <w:color w:val="FF0000"/>
          <w:sz w:val="21"/>
          <w:szCs w:val="24"/>
        </w:rPr>
        <w:t>A公司6月末应计提存货跌价准备＝18－15－1＝2（万元）。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2）根据以上资料，做出甲公司的会计处理。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答：根据期初资料、资料（1）至（4），下列各项中，做出A公司的会计处理。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批准处理前：</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借：待处理财产损溢（60÷10×1）6</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贷：原材料6</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批准处理后：</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借：营业外支出4</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其他应收款2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sz w:val="21"/>
          <w:szCs w:val="24"/>
        </w:rPr>
      </w:pPr>
      <w:r>
        <w:rPr>
          <w:rFonts w:hint="eastAsia"/>
          <w:b/>
          <w:bCs/>
          <w:color w:val="FF0000"/>
          <w:sz w:val="21"/>
          <w:szCs w:val="24"/>
        </w:rPr>
        <w:t>贷：待处理财产损溢6</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3）根据期初资料、资料（1）至（3），请做出A公司15日委托加工业务相关会计核算。</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答：根据期初资料、资料（1）至（3），做出A公司15日委托加工业务相关会计处理。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资料（3）会计分录：</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借：委托加工物资（60÷10×4）24</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贷：原材料24</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借：委托加工物资2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应交税费——应交增值税（进项税额）0.2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贷：银行存款2.2</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4）根据期初资料、资料（1）和（2），做出A公司领用材料的会计处理。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答：根据期初资料、资料（1）和（2），做出A公司领用材料的会计处理。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资料（2）会计分录：</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借：销售费用（36＋60÷10×1）42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管理费用（60÷10×1）6</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贷：原材料48</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5）根据资料（1），做出A公司6月5日的会计处理。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答：根据资料（1），做出A公司6月5日、6月10日的会计处理。</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6月5日</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借：在途物资60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应交税费——应交增值税（进项税额）9.6</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贷：银行存款69.6</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6月10日</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借：原材料60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贷：在途物资60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2</w:t>
      </w:r>
      <w:r>
        <w:rPr>
          <w:rFonts w:hint="eastAsia"/>
          <w:sz w:val="21"/>
          <w:szCs w:val="24"/>
        </w:rPr>
        <w:t>.2018年12月3日，某企业购入一台不需要安装的生产设备并投入使用，原价为60000元，预计净残值为3000元，预计使用年限为5年，按年数总和法计提折旧。不考虑其他因素，计算2019年12月31日该设备的账面价值。</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2018年12月购入的设备，2019年1月开始计提折旧，所以折旧年度和会计年度是一致的，由于该企业采用年数总和法，所以2019年计提的折旧额=（60000-3000）×5/15=19000（元），该设备的账面价值=该设备的账面原值-累计折旧-固定资产减值准备（本题不涉及）=60000-19000=41000（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3</w:t>
      </w:r>
      <w:r>
        <w:rPr>
          <w:rFonts w:hint="eastAsia"/>
          <w:sz w:val="21"/>
          <w:szCs w:val="24"/>
        </w:rPr>
        <w:t>.某公司出售专用设备一台，取得价款30万元（不考虑增值税），发生清理费用5万元（不考虑增值税），该设备的账面价值22万元，不考虑其他因素。下列各项中，完成相关会计会计分录，计算此项交易净损益。</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答：借：固定资产清理</w:t>
      </w:r>
      <w:r>
        <w:rPr>
          <w:rFonts w:hint="eastAsia"/>
          <w:b/>
          <w:bCs/>
          <w:color w:val="FF0000"/>
          <w:sz w:val="21"/>
          <w:szCs w:val="24"/>
        </w:rPr>
        <w:tab/>
      </w:r>
      <w:r>
        <w:rPr>
          <w:rFonts w:hint="eastAsia"/>
          <w:b/>
          <w:bCs/>
          <w:color w:val="FF0000"/>
          <w:sz w:val="21"/>
          <w:szCs w:val="24"/>
        </w:rPr>
        <w:t>22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贷：固定资产</w:t>
      </w:r>
      <w:r>
        <w:rPr>
          <w:rFonts w:hint="eastAsia"/>
          <w:b/>
          <w:bCs/>
          <w:color w:val="FF0000"/>
          <w:sz w:val="21"/>
          <w:szCs w:val="24"/>
        </w:rPr>
        <w:tab/>
      </w:r>
      <w:r>
        <w:rPr>
          <w:rFonts w:hint="eastAsia"/>
          <w:b/>
          <w:bCs/>
          <w:color w:val="FF0000"/>
          <w:sz w:val="21"/>
          <w:szCs w:val="24"/>
        </w:rPr>
        <w:t>22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借：银行存款</w:t>
      </w:r>
      <w:r>
        <w:rPr>
          <w:rFonts w:hint="eastAsia"/>
          <w:b/>
          <w:bCs/>
          <w:color w:val="FF0000"/>
          <w:sz w:val="21"/>
          <w:szCs w:val="24"/>
        </w:rPr>
        <w:tab/>
      </w:r>
      <w:r>
        <w:rPr>
          <w:rFonts w:hint="eastAsia"/>
          <w:b/>
          <w:bCs/>
          <w:color w:val="FF0000"/>
          <w:sz w:val="21"/>
          <w:szCs w:val="24"/>
        </w:rPr>
        <w:t>30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贷：固定资产清理</w:t>
      </w:r>
      <w:r>
        <w:rPr>
          <w:rFonts w:hint="eastAsia"/>
          <w:b/>
          <w:bCs/>
          <w:color w:val="FF0000"/>
          <w:sz w:val="21"/>
          <w:szCs w:val="24"/>
        </w:rPr>
        <w:tab/>
      </w:r>
      <w:r>
        <w:rPr>
          <w:rFonts w:hint="eastAsia"/>
          <w:b/>
          <w:bCs/>
          <w:color w:val="FF0000"/>
          <w:sz w:val="21"/>
          <w:szCs w:val="24"/>
        </w:rPr>
        <w:t>30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借：固定资产清理</w:t>
      </w:r>
      <w:r>
        <w:rPr>
          <w:rFonts w:hint="eastAsia"/>
          <w:b/>
          <w:bCs/>
          <w:color w:val="FF0000"/>
          <w:sz w:val="21"/>
          <w:szCs w:val="24"/>
        </w:rPr>
        <w:tab/>
      </w:r>
      <w:r>
        <w:rPr>
          <w:rFonts w:hint="eastAsia"/>
          <w:b/>
          <w:bCs/>
          <w:color w:val="FF0000"/>
          <w:sz w:val="21"/>
          <w:szCs w:val="24"/>
        </w:rPr>
        <w:t>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w:t>
      </w:r>
      <w:r>
        <w:rPr>
          <w:rFonts w:hint="eastAsia"/>
          <w:b/>
          <w:bCs/>
          <w:color w:val="FF0000"/>
          <w:sz w:val="21"/>
          <w:szCs w:val="24"/>
        </w:rPr>
        <w:tab/>
      </w:r>
      <w:r>
        <w:rPr>
          <w:rFonts w:hint="eastAsia"/>
          <w:b/>
          <w:bCs/>
          <w:color w:val="FF0000"/>
          <w:sz w:val="21"/>
          <w:szCs w:val="24"/>
        </w:rPr>
        <w:t>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借：固定资产清理</w:t>
      </w:r>
      <w:r>
        <w:rPr>
          <w:rFonts w:hint="eastAsia"/>
          <w:b/>
          <w:bCs/>
          <w:color w:val="FF0000"/>
          <w:sz w:val="21"/>
          <w:szCs w:val="24"/>
        </w:rPr>
        <w:tab/>
      </w:r>
      <w:r>
        <w:rPr>
          <w:rFonts w:hint="eastAsia"/>
          <w:b/>
          <w:bCs/>
          <w:color w:val="FF0000"/>
          <w:sz w:val="21"/>
          <w:szCs w:val="24"/>
        </w:rPr>
        <w:t>3</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贷：资产处置损益</w:t>
      </w:r>
      <w:r>
        <w:rPr>
          <w:rFonts w:hint="eastAsia"/>
          <w:b/>
          <w:bCs/>
          <w:color w:val="FF0000"/>
          <w:sz w:val="21"/>
          <w:szCs w:val="24"/>
        </w:rPr>
        <w:tab/>
      </w:r>
      <w:r>
        <w:rPr>
          <w:rFonts w:hint="eastAsia"/>
          <w:b/>
          <w:bCs/>
          <w:color w:val="FF0000"/>
          <w:sz w:val="21"/>
          <w:szCs w:val="24"/>
        </w:rPr>
        <w:t>3</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4</w:t>
      </w:r>
      <w:r>
        <w:rPr>
          <w:rFonts w:hint="eastAsia"/>
          <w:sz w:val="21"/>
          <w:szCs w:val="24"/>
        </w:rPr>
        <w:t>.甲企业20×4年7月份应付工资总额693 000元，“工资费用分配汇总表”中列示的产品生产人员工资为480 000元，车间管理人员工资为105 000元，企业行政管理人员工资为90 600元，专设销售机构人员工资为17 400元。其中企业需要代扣职工房租50000元，代扣职工个人所得税98000元，实发工资545000元。根据所在地政府的规定，公司分别按照职工工资总额的10%和8%计提医疗保险费和住房公积金，缴纳给当地社会保险经办机构和住房管理机构。公司分别按照职工工资总额的2%和1.5%计提工会经费和职工教育经费。公司组织全体职工进行安全技能培训，发生相关培训费28000元。工会组织职工乒乓球赛，发生相关赛事费用5000元。假定不考虑其他费用影响。要求：根据上述业务，编制甲企业的会计分录。</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答：(1)借：生产成本480000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制造费用105 000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管理费用90 600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销售费用17 400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贷：应付职工薪酬——职工工资693000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（2）实发工资</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借：应付职工薪酬——职工工资545000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贷：银行存款545000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（3）代扣代缴费用</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①企业代扣房租和个人所得税时</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借：应付职工薪酬——职工工资148000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贷：其他应收款——房租50000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应交税费——应交个人所得税98000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②企业代付房租和代缴个人所得税时</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借：其他应收款——房租50000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应交税费——应交个人所得税98000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贷：银行存款148000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（4）计提社保、住房公积金、工会经费等</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借：生产成本103200 480 000×（10%+8%+2%+1.5%）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制造费用22575 105 000×（10%+8%+2%+1.5%）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管理费用19479　90 600×（10%+8%+2%+1.5%）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销售费用3741　17 400×（10%+8%+2%+1.5%）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贷：应付职工薪酬——医疗保险费69 300（693000×10%）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——住房公积金55440（693000×8%）</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——工会经费13860（693000×2%）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——职工教育经费10395（693000×1.5%）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（5）公司组织职工进行培训和比赛</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借：应付职工薪酬——职工教育经费28000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——工会经费5000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贷：银行存款33000</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5</w:t>
      </w:r>
      <w:r>
        <w:rPr>
          <w:rFonts w:hint="eastAsia"/>
          <w:sz w:val="21"/>
          <w:szCs w:val="24"/>
        </w:rPr>
        <w:t>.2×18年至2×19年，甲公司发生的与股权投资相关的交易或事项如下。</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资料一：2×18年4月1日，甲公司以银行存款800万元自非关联方购入乙公司5%的股权，甲公司将其指定为以公允价值计量且其变动计入其他综合收益的金融资产，相关手续当日完成。2×18年6月30日，甲公司所持乙公司股权的公允价值为900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资料二：2×18年6月30日，甲公司以银行存款4500万元自非关联方取得乙公司25%的股权，累计持股比例达到30%，相关手续当日完成，甲公司能够对乙公司的财务和经营政策施加重大影响，对该项股权投资采用权益法进行后续核算。当日，乙公司可辨认净资产的账面价值为17000万元，各项可辨认资产、负债的公允价值均与其账面价值相同。</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资料三：2×18年9月15日，乙公司以800万元价格向甲公司销售其生产的一台成本为700万元的设备。当日，甲公司将该设备作为行政管理用固定资产并立即投入使用，预计使用年限为10年，预计净残值为零，采用年限平均法计提折旧。</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资料四：2×18年7月1日至12月31日，乙公司实现净利润800万元，其所持以公允价值计量且其变动计入其他综合收益的金融资产的公允价值增加40万元。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资料五：2×19年度乙公司实现净利润2000万元。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甲、乙公司均以公历年度作为会计年度，采用相同的会计政策，甲公司按净利润的10%提取法定盈余公积。本题不考虑增值税、企业所得税等相关税费及其他因素（“其他权益工具投资”、“长期股权投资”科目应写出必要的明细科目）。要求：</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（1）编制甲公司2×18年4月1日购入乙公司5%股权时的会计分录。</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（2）编制甲公司2×18年6月30日对所持乙公司5%股权按公允价值进行计量的会计分录。</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（3）计算甲公司2×18年6月30日对乙公司持股比例达到30%时长期股权投资的初始投资成本，并编制相关会计分录。</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（4）计算甲公司2×18年度对乙公司股权投资应确认投资收益和其他综合收益的金额，并编制相关会计分录。</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（5）计算甲公司2×19年度对乙公司股权投资应确认投资收益的金额，并编制相关会计分录。</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答：（1）2×18年4月1日购入乙公司5%股权时的会计分录如下</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借：其他权益工具投资—成本800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贷：银行存款800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（2）甲公司2×18年6月30日对所持乙公司5%股权按公允价值进行计量的会计分录如下</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借：其他权益工具投资—公允价值变动100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贷：其他综合收益100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（3）甲公司2×18年6月30日对乙公司持股比例达到30%时长期股权投资的初始投资成本及相关会计分录如下</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2×18年6月30日长期股权投资的初始投资成本=4500+900=5400（万元）。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借：长期股权投资—投资成本5400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贷：银行存款4500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其他权益工具投资—成本800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—公允价值变动100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借：其他综合收益100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贷：盈余公积10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利润分配—未分配利润90</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（4）甲公司2×18年度对乙公司股权投资应确认投资收益和其他综合收益的金额及会计分录如下</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甲公司2×18年度对乙公司股权投资应确认投资收益=800×30%-[（800-700）-（800-700）/10×3/12]×30%=210.75（万元）。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应确认其他综合收益=40×30%=12（万元）。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借：长期股权投资—损益调整210.75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—其他综合收益12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贷：投资收益210.75</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其他综合收益12</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（5）甲公司2×19年度对乙公司股权投资应确认投资收益的金额及会计分录如下</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2×19年度对乙公司股权投资应确认的投资收益=[2000+（800-700）/10]×30%=603（万元）。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借：长期股权投资—损益调整603</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贷：投资收益603</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6</w:t>
      </w:r>
      <w:r>
        <w:rPr>
          <w:rFonts w:hint="eastAsia"/>
          <w:sz w:val="21"/>
          <w:szCs w:val="24"/>
        </w:rPr>
        <w:t>.甲公司为增值税一般纳税人，2022年6月份发生如下经济业务：</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（1）6月2日，向A企业销售一批货物，开具的增值税专用发票注明的价格为100万元，增值税额为13万元。货物已发出，货款尚未收到。</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（2）6月5日，从B公司购入一批原材料20万元，增值税额2.6万元。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（3）6月10日向C公司销售一批货物，开具增值税专用发票上注明的价款为50万元，增值税额6.5万元。货物已发出，货款尚未收到。</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（4）6月25日，从D公司购入一项生产设备，收到的增值税专用发票列明价款120万元，增值税税额为15.6万元，甲公司开具面值135.6万元、为期3个月的不带息银行承兑汇票予以支付设备款项。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（5）6月27日，把一批货物用于发给职工做福利，该批货物成本10万元，公允售价20万元，增值税率为13%。</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要求：根据上述资料，分析计算甲公司当月的进项税额、销项税额和应纳增值税税额。</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简答题(40.0分)（难易度:中）</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答：6月份发生的销项税额=13+6.5+2.6=22.1万元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6月份可抵扣的进项税额=2.6+15.6=18.2万元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6月份应纳增值税额=22.1-18.2=3.9万元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lang w:val="en-US" w:eastAsia="zh-CN"/>
        </w:rPr>
        <w:t>7</w:t>
      </w:r>
      <w:r>
        <w:rPr>
          <w:rFonts w:hint="eastAsia"/>
          <w:sz w:val="21"/>
          <w:szCs w:val="24"/>
        </w:rPr>
        <w:t>.甲公司拟在厂区内建造一幢新厂房，有关资料如下：</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（1）2021年1月1日向银行专门借款5 000万元，期限为3年，年利率为6%，每年1月1日付息。</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（2）除专门借款外，公司只有一笔一般借款，为公司于2020年12月1日借入的长期借款3 000万元，期限为5年，年利率为8%，每年12月1日付息。</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（3）由于审批、办手续等原因，厂房于2021年4月1日才开场开工兴建，当日支付工程款2 000万元。工程建立期间的支出情况如下：</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2021年6月1日：1 000万元；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2021年7月1日：3 000万元；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2022年1月1日：1 000万元；</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工程于2022年9月30日完工，到达预定可使用状态。</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（4）假定专门借款中未支出的金额没有利息收入。</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要求：根据上述资料，回答下列问题：</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（1）判断2021年开始资本化的时点。</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（2）计算2021年专门借款的应付利息，其中，资本化金额和费用化金额分别为多少？</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（3）计算2021年一般借款的应付利息，其中，资本化金额和费用化金额分别为多少？</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（4）计算2022年专门借款的利息费用资本化金额。</w:t>
      </w:r>
    </w:p>
    <w:p>
      <w:pPr>
        <w:keepNext w:val="0"/>
        <w:keepLines w:val="0"/>
        <w:pageBreakBefore w:val="0"/>
        <w:widowControl/>
        <w:kinsoku/>
        <w:wordWrap/>
        <w:overflowPunct/>
        <w:topLinePunct w:val="0"/>
        <w:autoSpaceDE/>
        <w:autoSpaceDN/>
        <w:bidi w:val="0"/>
        <w:adjustRightInd/>
        <w:snapToGrid/>
        <w:spacing w:after="0" w:line="480" w:lineRule="auto"/>
        <w:ind w:firstLine="420" w:firstLineChars="200"/>
        <w:textAlignment w:val="auto"/>
        <w:rPr>
          <w:rFonts w:hint="eastAsia"/>
          <w:sz w:val="21"/>
          <w:szCs w:val="24"/>
        </w:rPr>
      </w:pPr>
      <w:r>
        <w:rPr>
          <w:rFonts w:hint="eastAsia"/>
          <w:sz w:val="21"/>
          <w:szCs w:val="24"/>
        </w:rPr>
        <w:t>（5）计算2022年一般借款的利息费用资本化金额。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答：（1）开始资本化的时点为2021年4月1日。</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（2）2021年专门借款利息金额：</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应付利息＝5 000×6%＝300〔万元〕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其中：费用化金额＝5 000×6%×3/12＝75〔万元〕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资本化金额＝5 000×6%×9/12＝225〔万元〕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（3）2021年，一般借款应付利息金额＝3 000×8%＝240〔万元〕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占用了一般借款资金的资产支出加权平均数＝1 000×6/12＝500〔万元〕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占用了一般借款资本化率＝8%</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一般借款资本化金额=500×8%＝40〔万元〕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一般借款费用化金额＝240－40＝200〔万元〕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（4）2022年专门借款的利息费用资本化金额=5 000×6%×9/12=225万元。</w:t>
      </w:r>
    </w:p>
    <w:p>
      <w:pPr>
        <w:keepNext w:val="0"/>
        <w:keepLines w:val="0"/>
        <w:pageBreakBefore w:val="0"/>
        <w:widowControl/>
        <w:kinsoku/>
        <w:wordWrap/>
        <w:overflowPunct/>
        <w:topLinePunct w:val="0"/>
        <w:autoSpaceDE/>
        <w:autoSpaceDN/>
        <w:bidi w:val="0"/>
        <w:adjustRightInd/>
        <w:snapToGrid/>
        <w:spacing w:after="0" w:line="480" w:lineRule="auto"/>
        <w:ind w:firstLine="422" w:firstLineChars="200"/>
        <w:textAlignment w:val="auto"/>
        <w:rPr>
          <w:rFonts w:hint="eastAsia"/>
          <w:b/>
          <w:bCs/>
          <w:color w:val="FF0000"/>
          <w:sz w:val="21"/>
          <w:szCs w:val="24"/>
        </w:rPr>
      </w:pPr>
      <w:r>
        <w:rPr>
          <w:rFonts w:hint="eastAsia"/>
          <w:b/>
          <w:bCs/>
          <w:color w:val="FF0000"/>
          <w:sz w:val="21"/>
          <w:szCs w:val="24"/>
        </w:rPr>
        <w:t>（5）2022年一般借款的利息费用资本化金额=1000×9/12×8%=60万元。</w:t>
      </w:r>
      <w:bookmarkStart w:id="0" w:name="_GoBack"/>
      <w:bookmarkEnd w:id="0"/>
    </w:p>
    <w:sectPr>
      <w:pgSz w:w="12240" w:h="15840"/>
      <w:pgMar w:top="1134" w:right="1134" w:bottom="1134"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ＭＳ 明朝">
    <w:altName w:val="MS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A00002BF" w:usb1="68C7FCFB" w:usb2="00000010"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61007A87" w:usb1="80000000"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A5183"/>
    <w:rsid w:val="00B47730"/>
    <w:rsid w:val="00CB0664"/>
    <w:rsid w:val="00FC693F"/>
    <w:rsid w:val="03D70C08"/>
    <w:rsid w:val="05963795"/>
    <w:rsid w:val="07184635"/>
    <w:rsid w:val="0BB226C5"/>
    <w:rsid w:val="16E175B0"/>
    <w:rsid w:val="17E10F16"/>
    <w:rsid w:val="204417F2"/>
    <w:rsid w:val="25977C11"/>
    <w:rsid w:val="2E682BFF"/>
    <w:rsid w:val="417677EB"/>
    <w:rsid w:val="467B474D"/>
    <w:rsid w:val="46FA0268"/>
    <w:rsid w:val="57576C5D"/>
    <w:rsid w:val="5E9B5BCC"/>
    <w:rsid w:val="5FCE0930"/>
    <w:rsid w:val="77C25E51"/>
    <w:rsid w:val="79707DF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0"/>
      <w:szCs w:val="22"/>
      <w:lang w:val="en-US" w:eastAsia="en-US" w:bidi="ar-SA"/>
    </w:rPr>
  </w:style>
  <w:style w:type="paragraph" w:styleId="3">
    <w:name w:val="heading 1"/>
    <w:basedOn w:val="1"/>
    <w:next w:val="1"/>
    <w:link w:val="13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36"/>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46"/>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47"/>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48"/>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4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0"/>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0">
    <w:name w:val="Default Paragraph Font"/>
    <w:semiHidden/>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2">
    <w:name w:val="macro"/>
    <w:link w:val="143"/>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2"/>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0"/>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Subtitle"/>
    <w:basedOn w:val="1"/>
    <w:next w:val="1"/>
    <w:link w:val="1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5">
    <w:name w:val="List"/>
    <w:basedOn w:val="1"/>
    <w:unhideWhenUsed/>
    <w:uiPriority w:val="99"/>
    <w:pPr>
      <w:ind w:left="360" w:hanging="360"/>
      <w:contextualSpacing/>
    </w:pPr>
  </w:style>
  <w:style w:type="paragraph" w:styleId="26">
    <w:name w:val="Body Text 2"/>
    <w:basedOn w:val="1"/>
    <w:link w:val="141"/>
    <w:unhideWhenUsed/>
    <w:uiPriority w:val="99"/>
    <w:pPr>
      <w:spacing w:after="120" w:line="480" w:lineRule="auto"/>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Title"/>
    <w:basedOn w:val="1"/>
    <w:next w:val="1"/>
    <w:link w:val="13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1">
    <w:name w:val="Table Grid"/>
    <w:basedOn w:val="30"/>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2">
    <w:name w:val="Light Shading"/>
    <w:basedOn w:val="30"/>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3">
    <w:name w:val="Light Shading Accent 1"/>
    <w:basedOn w:val="30"/>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4">
    <w:name w:val="Light Shading Accent 2"/>
    <w:basedOn w:val="30"/>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5">
    <w:name w:val="Light Shading Accent 3"/>
    <w:basedOn w:val="30"/>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6">
    <w:name w:val="Light Shading Accent 4"/>
    <w:basedOn w:val="30"/>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7">
    <w:name w:val="Light Shading Accent 5"/>
    <w:basedOn w:val="30"/>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38">
    <w:name w:val="Light Shading Accent 6"/>
    <w:basedOn w:val="30"/>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39">
    <w:name w:val="Light List"/>
    <w:basedOn w:val="30"/>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0">
    <w:name w:val="Light List Accent 1"/>
    <w:basedOn w:val="30"/>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1">
    <w:name w:val="Light List Accent 2"/>
    <w:basedOn w:val="30"/>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2">
    <w:name w:val="Light List Accent 3"/>
    <w:basedOn w:val="30"/>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3">
    <w:name w:val="Light List Accent 4"/>
    <w:basedOn w:val="30"/>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4">
    <w:name w:val="Light List Accent 5"/>
    <w:basedOn w:val="30"/>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5">
    <w:name w:val="Light List Accent 6"/>
    <w:basedOn w:val="30"/>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6">
    <w:name w:val="Light Grid"/>
    <w:basedOn w:val="30"/>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7">
    <w:name w:val="Light Grid Accent 1"/>
    <w:basedOn w:val="30"/>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48">
    <w:name w:val="Light Grid Accent 2"/>
    <w:basedOn w:val="30"/>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49">
    <w:name w:val="Light Grid Accent 3"/>
    <w:basedOn w:val="30"/>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0">
    <w:name w:val="Light Grid Accent 4"/>
    <w:basedOn w:val="30"/>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1">
    <w:name w:val="Light Grid Accent 5"/>
    <w:basedOn w:val="30"/>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2">
    <w:name w:val="Light Grid Accent 6"/>
    <w:basedOn w:val="30"/>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3">
    <w:name w:val="Medium Shading 1"/>
    <w:basedOn w:val="30"/>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4">
    <w:name w:val="Medium Shading 1 Accent 1"/>
    <w:basedOn w:val="30"/>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5">
    <w:name w:val="Medium Shading 1 Accent 2"/>
    <w:basedOn w:val="30"/>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6">
    <w:name w:val="Medium Shading 1 Accent 3"/>
    <w:basedOn w:val="30"/>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7">
    <w:name w:val="Medium Shading 1 Accent 4"/>
    <w:basedOn w:val="30"/>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58">
    <w:name w:val="Medium Shading 1 Accent 5"/>
    <w:basedOn w:val="30"/>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59">
    <w:name w:val="Medium Shading 1 Accent 6"/>
    <w:basedOn w:val="30"/>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0">
    <w:name w:val="Medium Shading 2"/>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1">
    <w:name w:val="Medium Shading 2 Accent 1"/>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2">
    <w:name w:val="Medium Shading 2 Accent 2"/>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3"/>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4"/>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5"/>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6"/>
    <w:basedOn w:val="30"/>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List 1"/>
    <w:basedOn w:val="30"/>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68">
    <w:name w:val="Medium List 1 Accent 1"/>
    <w:basedOn w:val="30"/>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9">
    <w:name w:val="Medium List 1 Accent 2"/>
    <w:basedOn w:val="30"/>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0">
    <w:name w:val="Medium List 1 Accent 3"/>
    <w:basedOn w:val="30"/>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1">
    <w:name w:val="Medium List 1 Accent 4"/>
    <w:basedOn w:val="30"/>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2">
    <w:name w:val="Medium List 1 Accent 5"/>
    <w:basedOn w:val="30"/>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3">
    <w:name w:val="Medium List 1 Accent 6"/>
    <w:basedOn w:val="30"/>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4">
    <w:name w:val="Medium List 2"/>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6"/>
    <w:basedOn w:val="30"/>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30"/>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2">
    <w:name w:val="Medium Grid 1 Accent 1"/>
    <w:basedOn w:val="30"/>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3">
    <w:name w:val="Medium Grid 1 Accent 2"/>
    <w:basedOn w:val="30"/>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30"/>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30"/>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30"/>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30"/>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88">
    <w:name w:val="Medium Grid 2"/>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89">
    <w:name w:val="Medium Grid 2 Accent 1"/>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0">
    <w:name w:val="Medium Grid 2 Accent 2"/>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1">
    <w:name w:val="Medium Grid 2 Accent 3"/>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2">
    <w:name w:val="Medium Grid 2 Accent 4"/>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3">
    <w:name w:val="Medium Grid 2 Accent 5"/>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4">
    <w:name w:val="Medium Grid 2 Accent 6"/>
    <w:basedOn w:val="30"/>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5">
    <w:name w:val="Medium Grid 3"/>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6">
    <w:name w:val="Medium Grid 3 Accent 1"/>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7">
    <w:name w:val="Medium Grid 3 Accent 2"/>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98">
    <w:name w:val="Medium Grid 3 Accent 3"/>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99">
    <w:name w:val="Medium Grid 3 Accent 4"/>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0">
    <w:name w:val="Medium Grid 3 Accent 5"/>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1">
    <w:name w:val="Medium Grid 3 Accent 6"/>
    <w:basedOn w:val="30"/>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2">
    <w:name w:val="Dark List"/>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3">
    <w:name w:val="Dark List Accent 1"/>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4">
    <w:name w:val="Dark List Accent 2"/>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5">
    <w:name w:val="Dark List Accent 3"/>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6">
    <w:name w:val="Dark List Accent 4"/>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7">
    <w:name w:val="Dark List Accent 5"/>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08">
    <w:name w:val="Dark List Accent 6"/>
    <w:basedOn w:val="30"/>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09">
    <w:name w:val="Colorful Shading"/>
    <w:basedOn w:val="30"/>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0">
    <w:name w:val="Colorful Shading Accent 1"/>
    <w:basedOn w:val="30"/>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1">
    <w:name w:val="Colorful Shading Accent 2"/>
    <w:basedOn w:val="30"/>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3"/>
    <w:basedOn w:val="30"/>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3">
    <w:name w:val="Colorful Shading Accent 4"/>
    <w:basedOn w:val="30"/>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5"/>
    <w:basedOn w:val="30"/>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6"/>
    <w:basedOn w:val="30"/>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List"/>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7">
    <w:name w:val="Colorful List Accent 1"/>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18">
    <w:name w:val="Colorful List Accent 2"/>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19">
    <w:name w:val="Colorful List Accent 3"/>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0">
    <w:name w:val="Colorful List Accent 4"/>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1">
    <w:name w:val="Colorful List Accent 5"/>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2">
    <w:name w:val="Colorful List Accent 6"/>
    <w:basedOn w:val="30"/>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3">
    <w:name w:val="Colorful Grid"/>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4">
    <w:name w:val="Colorful Grid Accent 1"/>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5">
    <w:name w:val="Colorful Grid Accent 2"/>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6">
    <w:name w:val="Colorful Grid Accent 3"/>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7">
    <w:name w:val="Colorful Grid Accent 4"/>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28">
    <w:name w:val="Colorful Grid Accent 5"/>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29">
    <w:name w:val="Colorful Grid Accent 6"/>
    <w:basedOn w:val="30"/>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1">
    <w:name w:val="Strong"/>
    <w:basedOn w:val="130"/>
    <w:qFormat/>
    <w:uiPriority w:val="22"/>
    <w:rPr>
      <w:b/>
      <w:bCs/>
    </w:rPr>
  </w:style>
  <w:style w:type="character" w:styleId="132">
    <w:name w:val="Emphasis"/>
    <w:basedOn w:val="130"/>
    <w:qFormat/>
    <w:uiPriority w:val="20"/>
    <w:rPr>
      <w:i/>
      <w:iCs/>
    </w:rPr>
  </w:style>
  <w:style w:type="paragraph" w:styleId="1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4">
    <w:name w:val="Heading 1 Char"/>
    <w:basedOn w:val="130"/>
    <w:link w:val="3"/>
    <w:uiPriority w:val="9"/>
    <w:rPr>
      <w:rFonts w:asciiTheme="majorHAnsi" w:hAnsiTheme="majorHAnsi" w:eastAsiaTheme="majorEastAsia" w:cstheme="majorBidi"/>
      <w:b/>
      <w:bCs/>
      <w:color w:val="376092" w:themeColor="accent1" w:themeShade="BF"/>
      <w:sz w:val="28"/>
      <w:szCs w:val="28"/>
    </w:rPr>
  </w:style>
  <w:style w:type="character" w:customStyle="1" w:styleId="135">
    <w:name w:val="Heading 2 Char"/>
    <w:basedOn w:val="130"/>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36">
    <w:name w:val="Heading 3 Char"/>
    <w:basedOn w:val="130"/>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7">
    <w:name w:val="Title Char"/>
    <w:basedOn w:val="130"/>
    <w:link w:val="2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38">
    <w:name w:val="Subtitle Char"/>
    <w:basedOn w:val="130"/>
    <w:link w:val="2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39">
    <w:name w:val="List Paragraph"/>
    <w:basedOn w:val="1"/>
    <w:qFormat/>
    <w:uiPriority w:val="34"/>
    <w:pPr>
      <w:ind w:left="720"/>
      <w:contextualSpacing/>
    </w:pPr>
  </w:style>
  <w:style w:type="character" w:customStyle="1" w:styleId="140">
    <w:name w:val="Body Text Char"/>
    <w:basedOn w:val="130"/>
    <w:link w:val="19"/>
    <w:uiPriority w:val="99"/>
  </w:style>
  <w:style w:type="character" w:customStyle="1" w:styleId="141">
    <w:name w:val="Body Text 2 Char"/>
    <w:basedOn w:val="130"/>
    <w:link w:val="26"/>
    <w:uiPriority w:val="99"/>
  </w:style>
  <w:style w:type="character" w:customStyle="1" w:styleId="142">
    <w:name w:val="Body Text 3 Char"/>
    <w:basedOn w:val="130"/>
    <w:link w:val="17"/>
    <w:uiPriority w:val="99"/>
    <w:rPr>
      <w:sz w:val="16"/>
      <w:szCs w:val="16"/>
    </w:rPr>
  </w:style>
  <w:style w:type="character" w:customStyle="1" w:styleId="143">
    <w:name w:val="Macro Text Char"/>
    <w:basedOn w:val="130"/>
    <w:link w:val="2"/>
    <w:uiPriority w:val="99"/>
    <w:rPr>
      <w:rFonts w:ascii="Courier" w:hAnsi="Courier"/>
      <w:sz w:val="20"/>
      <w:szCs w:val="20"/>
    </w:rPr>
  </w:style>
  <w:style w:type="paragraph" w:styleId="144">
    <w:name w:val="Quote"/>
    <w:basedOn w:val="1"/>
    <w:next w:val="1"/>
    <w:link w:val="145"/>
    <w:qFormat/>
    <w:uiPriority w:val="29"/>
    <w:rPr>
      <w:i/>
      <w:iCs/>
      <w:color w:val="000000" w:themeColor="text1"/>
      <w14:textFill>
        <w14:solidFill>
          <w14:schemeClr w14:val="tx1"/>
        </w14:solidFill>
      </w14:textFill>
    </w:rPr>
  </w:style>
  <w:style w:type="character" w:customStyle="1" w:styleId="145">
    <w:name w:val="Quote Char"/>
    <w:basedOn w:val="130"/>
    <w:link w:val="144"/>
    <w:uiPriority w:val="29"/>
    <w:rPr>
      <w:i/>
      <w:iCs/>
      <w:color w:val="000000" w:themeColor="text1"/>
      <w14:textFill>
        <w14:solidFill>
          <w14:schemeClr w14:val="tx1"/>
        </w14:solidFill>
      </w14:textFill>
    </w:rPr>
  </w:style>
  <w:style w:type="character" w:customStyle="1" w:styleId="146">
    <w:name w:val="Heading 4 Char"/>
    <w:basedOn w:val="130"/>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47">
    <w:name w:val="Heading 5 Char"/>
    <w:basedOn w:val="130"/>
    <w:link w:val="7"/>
    <w:semiHidden/>
    <w:uiPriority w:val="9"/>
    <w:rPr>
      <w:rFonts w:asciiTheme="majorHAnsi" w:hAnsiTheme="majorHAnsi" w:eastAsiaTheme="majorEastAsia" w:cstheme="majorBidi"/>
      <w:color w:val="254061" w:themeColor="accent1" w:themeShade="80"/>
    </w:rPr>
  </w:style>
  <w:style w:type="character" w:customStyle="1" w:styleId="148">
    <w:name w:val="Heading 6 Char"/>
    <w:basedOn w:val="130"/>
    <w:link w:val="8"/>
    <w:semiHidden/>
    <w:uiPriority w:val="9"/>
    <w:rPr>
      <w:rFonts w:asciiTheme="majorHAnsi" w:hAnsiTheme="majorHAnsi" w:eastAsiaTheme="majorEastAsia" w:cstheme="majorBidi"/>
      <w:i/>
      <w:iCs/>
      <w:color w:val="254061" w:themeColor="accent1" w:themeShade="80"/>
    </w:rPr>
  </w:style>
  <w:style w:type="character" w:customStyle="1" w:styleId="149">
    <w:name w:val="Heading 7 Char"/>
    <w:basedOn w:val="130"/>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0">
    <w:name w:val="Heading 8 Char"/>
    <w:basedOn w:val="130"/>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1">
    <w:name w:val="Heading 9 Char"/>
    <w:basedOn w:val="130"/>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2">
    <w:name w:val="Intense Quote"/>
    <w:basedOn w:val="1"/>
    <w:next w:val="1"/>
    <w:link w:val="15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3">
    <w:name w:val="Intense Quote Char"/>
    <w:basedOn w:val="130"/>
    <w:link w:val="152"/>
    <w:uiPriority w:val="30"/>
    <w:rPr>
      <w:b/>
      <w:bCs/>
      <w:i/>
      <w:iCs/>
      <w:color w:val="4F81BD" w:themeColor="accent1"/>
      <w14:textFill>
        <w14:solidFill>
          <w14:schemeClr w14:val="accent1"/>
        </w14:solidFill>
      </w14:textFill>
    </w:rPr>
  </w:style>
  <w:style w:type="character" w:customStyle="1" w:styleId="154">
    <w:name w:val="Subtle Emphasis"/>
    <w:basedOn w:val="130"/>
    <w:qFormat/>
    <w:uiPriority w:val="19"/>
    <w:rPr>
      <w:i/>
      <w:iCs/>
      <w:color w:val="808080" w:themeColor="text1" w:themeTint="80"/>
      <w14:textFill>
        <w14:solidFill>
          <w14:schemeClr w14:val="tx1">
            <w14:lumMod w14:val="50000"/>
            <w14:lumOff w14:val="50000"/>
          </w14:schemeClr>
        </w14:solidFill>
      </w14:textFill>
    </w:rPr>
  </w:style>
  <w:style w:type="character" w:customStyle="1" w:styleId="155">
    <w:name w:val="Intense Emphasis"/>
    <w:basedOn w:val="130"/>
    <w:qFormat/>
    <w:uiPriority w:val="21"/>
    <w:rPr>
      <w:b/>
      <w:bCs/>
      <w:i/>
      <w:iCs/>
      <w:color w:val="4F81BD" w:themeColor="accent1"/>
      <w14:textFill>
        <w14:solidFill>
          <w14:schemeClr w14:val="accent1"/>
        </w14:solidFill>
      </w14:textFill>
    </w:rPr>
  </w:style>
  <w:style w:type="character" w:customStyle="1" w:styleId="156">
    <w:name w:val="Subtle Reference"/>
    <w:basedOn w:val="130"/>
    <w:qFormat/>
    <w:uiPriority w:val="31"/>
    <w:rPr>
      <w:smallCaps/>
      <w:color w:val="C0504D" w:themeColor="accent2"/>
      <w:u w:val="single"/>
      <w14:textFill>
        <w14:solidFill>
          <w14:schemeClr w14:val="accent2"/>
        </w14:solidFill>
      </w14:textFill>
    </w:rPr>
  </w:style>
  <w:style w:type="character" w:customStyle="1" w:styleId="157">
    <w:name w:val="Intense Reference"/>
    <w:basedOn w:val="130"/>
    <w:qFormat/>
    <w:uiPriority w:val="32"/>
    <w:rPr>
      <w:b/>
      <w:bCs/>
      <w:smallCaps/>
      <w:color w:val="C0504D" w:themeColor="accent2"/>
      <w:spacing w:val="5"/>
      <w:u w:val="single"/>
      <w14:textFill>
        <w14:solidFill>
          <w14:schemeClr w14:val="accent2"/>
        </w14:solidFill>
      </w14:textFill>
    </w:rPr>
  </w:style>
  <w:style w:type="character" w:customStyle="1" w:styleId="158">
    <w:name w:val="Book Title"/>
    <w:basedOn w:val="130"/>
    <w:qFormat/>
    <w:uiPriority w:val="33"/>
    <w:rPr>
      <w:b/>
      <w:bCs/>
      <w:smallCaps/>
      <w:spacing w:val="5"/>
    </w:rPr>
  </w:style>
  <w:style w:type="paragraph" w:customStyle="1" w:styleId="159">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Administrator</cp:lastModifiedBy>
  <dcterms:modified xsi:type="dcterms:W3CDTF">2023-05-12T10:53:20Z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