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5D99" w14:textId="7937E17E" w:rsidR="005D4020" w:rsidRPr="005D4020" w:rsidRDefault="005D4020" w:rsidP="005D4020">
      <w:pPr>
        <w:rPr>
          <w:rFonts w:asciiTheme="majorEastAsia" w:eastAsiaTheme="majorEastAsia" w:hAnsiTheme="majorEastAsia" w:hint="eastAsia"/>
          <w:color w:val="EE0000"/>
          <w:sz w:val="52"/>
          <w:szCs w:val="52"/>
        </w:rPr>
      </w:pPr>
      <w:r w:rsidRPr="005D4020">
        <w:rPr>
          <w:rFonts w:asciiTheme="majorEastAsia" w:eastAsiaTheme="majorEastAsia" w:hAnsiTheme="majorEastAsia" w:hint="eastAsia"/>
          <w:color w:val="EE0000"/>
          <w:sz w:val="52"/>
          <w:szCs w:val="52"/>
        </w:rPr>
        <w:t>所有题目和答案顺序都是随机，请务必仔细看</w:t>
      </w:r>
      <w:r>
        <w:rPr>
          <w:rFonts w:asciiTheme="majorEastAsia" w:eastAsiaTheme="majorEastAsia" w:hAnsiTheme="majorEastAsia" w:hint="eastAsia"/>
          <w:color w:val="EE0000"/>
          <w:sz w:val="52"/>
          <w:szCs w:val="52"/>
        </w:rPr>
        <w:t>答案选项内容</w:t>
      </w:r>
      <w:r w:rsidR="001532C5">
        <w:rPr>
          <w:rFonts w:asciiTheme="majorEastAsia" w:eastAsiaTheme="majorEastAsia" w:hAnsiTheme="majorEastAsia" w:hint="eastAsia"/>
          <w:color w:val="EE0000"/>
          <w:sz w:val="52"/>
          <w:szCs w:val="52"/>
        </w:rPr>
        <w:t>，不要直接看选项字母！</w:t>
      </w:r>
    </w:p>
    <w:p w14:paraId="131BFFEE" w14:textId="77777777" w:rsidR="005D4020" w:rsidRDefault="005D4020">
      <w:pPr>
        <w:jc w:val="center"/>
        <w:rPr>
          <w:rFonts w:asciiTheme="majorEastAsia" w:eastAsiaTheme="majorEastAsia" w:hAnsiTheme="majorEastAsia" w:hint="eastAsia"/>
          <w:sz w:val="24"/>
          <w:szCs w:val="24"/>
        </w:rPr>
      </w:pPr>
    </w:p>
    <w:p w14:paraId="48132A54" w14:textId="0BF362A5" w:rsidR="00631495" w:rsidRPr="005D4020" w:rsidRDefault="00000000">
      <w:pPr>
        <w:jc w:val="center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 xml:space="preserve">贸易实务 ·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形考任务一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（30分）</w:t>
      </w:r>
    </w:p>
    <w:p w14:paraId="224BB175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1.    某美国客商到我国一家玩具厂参观，之后对该厂的部分产品很感兴趣，于是立即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签定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购买合同，批量购买他所见到的那部分产品，决定按实物样品作为合同中交收货物的品质要求。这种表示品质的方法是（）。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4CE3A048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凭对等样品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看货购买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凭卖方样品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凭买方样品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2.    凭样品买卖时，如果合同中无其他规定，那么卖方所交货物（）。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5388CEA2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必须与样品完全一致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允许有合理公差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允许在包装规格上有一定幅度的差异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可以与样品大致相同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3.    外商在收到我方寄送的样品后，来电表示愿意按我所提交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易条件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成交，并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嘱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其 签订销售合同。我方在合同内详细列出该商品的品质规格，经对方签字后寄回无 误。我方按约装船，忽然接到对方来电：“你方所装货物品质是否与样品相符。” 我方的答复应该是（）。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426C0CF2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我方所装货物品质以合同为准，样品仅供参考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我方所装货物品质与样品相符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我方所装货物品质与样品完全相符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我方所装货物品质与样品大致相符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4.    在品质条款的规定上，对某些比较难掌握其品质的工业制成品或农副产品，我们多在合同中规定（）。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46396F90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商品的净重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B.   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溢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短装条款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增减价条款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品质公差或品质机动幅度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5.    进口羊毛计算重量的方法，一般采用（）。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2479C460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毛重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公量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以毛作净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理论重量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6.    按合同中的数量卖方在交货时可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溢交或短交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百分之几，这种规定叫（）。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6E6F6147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品质机动幅度条款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品质公差条款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数量增减价条款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D.   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溢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短装条款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7.    根据《跟单信用证统一惯例》规定，合同中使用“大约”、“近似”等约量字眼，可解释为交货数量的增减幅度为（）。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41F3C8CB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不超过 5%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不超过 15%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不超过 3%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不超过 10%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8.    运输包装和销售包装的分类，是按（）。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406AF215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A.    包装所使用的材料来划分的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包装的形式来划分的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包装的目的来划分的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包装在流通过程中的作用来划分的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9.    按照国际惯例，如果合同中没有相关规定，则运输标志一般由（）提供。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61D5DD67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开证行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买方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卖方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船方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10.    《国际贸易术语解释通则 2020》中，卖方承担义务最小的术语是（）。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649BA716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EXW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FAS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FOB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DAP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11.    商品品质机动条款通常包括(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4265DBB2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规定质量指标上下差异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对商品主要质量指标规定一定的机动范围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规定质量规格上下限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采用大约、左右、合理误差等表示质量指标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质量差异增减价条款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12.    采用样品表示商品品质应该注意的问题有(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58AA1A4C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卖方所交货物质量与样品不一致，买方只有权提出索赔不能拒收货物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卖方难以保证交货质量与样品完全相同，则磋商订约时应约定交货质量与样品相似或大致相同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采用样品要能够反映所代表商品的整体质量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为了避免双方在履约过程中产生质量争议，必要时可以采用封样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一旦样品成为双方履行合同的质量依据，卖方要承担交付货物质量与样品完</w:t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全一致的责任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13.    出口凭卖方样品成交时，卖方应注意(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10BFBF43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留存一份或数份同样品质的样品，即复样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所提供的样品应充分代表日后所交的整批货物质量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所交货物的品质必须与样品一致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争取按对等样品成交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向买方说明样品仅供其购买时参考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14.    商品品质的内在质量包括(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2719252A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色泽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化学成分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机械性能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透明度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生物特征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 C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15.    下列计量单位计量货物表明是散装货物的是(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0AB37C1A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1000PIECES 服装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100BAGS 棉花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100M3 天然气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100M／T 矿砂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1000YARDS 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16.   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溢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短装条款主要包括(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22AC9BA2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交货数量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机动幅度选择权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数量机动幅度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D.   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溢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短装部分作价方法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计量单位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17.    标准运输标志的内容有(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52DB5371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参考号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货物包装的件数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产地标志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目的地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收货人的代码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18.    运输标志的作用是(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431CFBBB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防止错发错运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便于识别货物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易于计数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方便运输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促进销售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19.    采用中性包装的目的是(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49F1FB11" w14:textId="77777777" w:rsidR="00631495" w:rsidRPr="005D4020" w:rsidRDefault="00000000">
      <w:pPr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使出口厂商扩大出口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使出口厂商加强对外竞销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避开进口国家地区的关税和非关税壁垒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利用进口方的商业信誉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适应交易特殊需要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C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20.    集合运输包装可以分为(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6339959D" w14:textId="77777777" w:rsidR="00631495" w:rsidRPr="005D4020" w:rsidRDefault="00000000">
      <w:pPr>
        <w:pStyle w:val="Normal0"/>
        <w:jc w:val="center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集装包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集装箱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托盘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集装袋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桶装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贸易实务 ·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形考任务二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（30分）</w:t>
      </w:r>
    </w:p>
    <w:p w14:paraId="332D8B17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1.    根据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《《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国际贸易术语解释通则 2020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》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 xml:space="preserve"> 的规定，不能适用于“门到门”或“站到站”运输方式的贸易术语是（）。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753DD023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FCA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CPT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CIP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FOB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2.    一般情况下，在以 FOB 贸易术语成交的合同中，货物的价格构成是（）。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5F66C64C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货物成本+运费+保险费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货物成本+运费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货物成本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货物成本+保险费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3.    在实际业务中，FOB 条件下，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买方常委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托卖方代为租船、订舱，其费用由买方负担。如到期订不到舱，租不到船，（）。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04D24DEB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卖方不承担责任，其风险由买方承担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卖方承担责任，其风险也由卖方承担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买卖双方共同承担责任、风险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双方均不承担责任，合同停止履行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4.    在一般情况下，按 CFR 贸易术语成交的合同中，不应计入货物价格的是（）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1303F0F6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运费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保险费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各项出口税费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货物成本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5.    在使用下列何种贸易术语进行交易时，卖方及时向买方发出“已装船通知”至关重要，因为它将直接影响买卖双方对运输途中的风险承担。（）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193FD6E0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A.    CIP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DES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CFR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FCA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6.    根据《国际贸易术语解释通则 2020》，以 CIF 汉堡成交卖方对货物所承担的风险界限（风险责任）是（）。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41230A1E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在装运港货物交至船上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货物在目的港装上买方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车辆以前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br/>
        <w:t>C.    货物在目的港卸货越过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船舷以前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br/>
        <w:t>D.    货物在装运港卸下卖方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车辆以前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7.    在我国从德国进口商品过程中，使用的货币最好是（）。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78480A52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双方未同意采用的第三国货币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不可自由兑换的货币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汇率保持持续下跌趋势的货币，即软货币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汇率保持持续攀升趋势的货币，即硬货币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8.    某商品单价为“每件 25 美元 CIF 净价纽约”指的是（）。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7EC0DB6E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该价格中不包括运费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该价格中不包括佣金或折扣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该价格中不包括佣金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该价格中不包括保险费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9.    在合同对外洽商过程中，如果报出的净价为 1000 美元，可是对方要求 3%的佣金，为了保证实收 1000 美元，所报的含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佣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价应是（）。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47AEFDAD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1030.93 美元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1100 美元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1000 美元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1030 美元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10.    以货物交给承运人的时间和地点作为买卖双方风险划分界限的术语（）。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单选题(4.0分)（难易度:中）</w:t>
      </w:r>
    </w:p>
    <w:p w14:paraId="1F46B349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FAS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FOB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EXW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FCA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11.    我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某进口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公司按 FOB 条件进口一批货物，采用程租船运输，如果我方不愿承担装船费用，应采用(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7658BE66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FOBST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FOB Stowed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FOB Trimmed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FOB Undertackle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FOB LinerTerms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12.    某公司按 FOB 条件进口大宗商品一批，采用程租船运输。如果买方不愿意承担装船费用，可以选用( )成交。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458D48D0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FOB UNDER TACKLE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FOB LINER TERMS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FOB STOWED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FOB TRIMMED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FOB LANDED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13.    根据《国际贸易术语解释通则 2020》，FOB、CFR、CIF 三个贸易术语的共同点是(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582F33D8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都适合于海洋和内河运输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都适合于铁路和公路运输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都属于象征性交货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买方都有租船/订舱、支付运费的义务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风险费用划分都以装运港船上为界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C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14.    根据《国际贸易术语解释通则 2020》，可适用于多种运输方式的贸易术语是（）。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25E4CEF8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FCA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CPT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CIP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DDP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DPU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15.    按照《国际贸易术语解释通则 2020》的解释，FCA、CIP 与 CPT 的相同之处表现在(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55E4D057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都是由卖方自担风险和费用，取得出口所需各类文件并办理货物出口清关手续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适合的运输方式相同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都是由买方自担风险和费用，取得进口所需各类文件并办理货物进口清关手续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风险划分界限相同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交货地点相同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16.    贸易术语选用考虑的原则是(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4619880D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按照实际需要，灵活掌握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适合所使用的运输方式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增收节支外汇、运保费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出口尽量采用 FOB 贸易术语，进口尽量采用 CIF 贸易术语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安全收汇，安全收货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17.    国际贸易中作价方法主要有(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5C852A85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暂定价格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固定作价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暂不固定作价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滑动价格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交货期近的采用滑动价格，交货期远的采用固定作价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18.    佣金的表示方法可以有(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7BBD1B50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每公吨 335 美元 CIF 纽约包含佣金 2%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每公吨 300 美元 FOB 上海净价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每公吨 220 美元 CIFC2%伦敦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按照成交价总金额支付 USD1000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每公吨 500 美元 CIF 纽约以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毛做净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19.    《联合国国际货物销售合同公约》规定，如卖方在合同规定的时间以前交货， 或者延迟交货，买方(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20CDB497" w14:textId="77777777" w:rsidR="00631495" w:rsidRPr="005D4020" w:rsidRDefault="00000000">
      <w:pPr>
        <w:pStyle w:val="Normal0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必须收下货物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有权拒收货物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有权宣告合同无效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与买方另行协商解决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有权要求损害赔偿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 C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20.    在出口业务中，我方决定可否接受国外客户提出的目的港和目的地时，通常应考虑的因素包括(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多选题(6.0分)（难易度:中）</w:t>
      </w:r>
    </w:p>
    <w:p w14:paraId="0E95C752" w14:textId="77777777" w:rsidR="00631495" w:rsidRPr="005D4020" w:rsidRDefault="00000000">
      <w:pPr>
        <w:pStyle w:val="Normal1"/>
        <w:jc w:val="center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对目的港或目的地的规定应尽量明确具体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凡以非集装箱方式运输的一般海上散货，合同中应尽量规定转运条款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应贯彻我国有关政策，不得以我国政府不予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怒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进行贸易往来的国家和地区做目的港或目的地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目的港必须是船舶可以安全停靠的港口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以 CIF 或 CFR 条件成交的对内陆国家出口交易，应选择距离我国目的地最近的我方能够安排船舶的港口为目的港。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贸易实务 ·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形考任务三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（40分）</w:t>
      </w:r>
    </w:p>
    <w:p w14:paraId="230C4CB0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1.    在进出口业务中，出口商完成装运后，凭（）向船公司换取正式提单。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29E6C2BF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A.    收货单或大副收据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商业发票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质检证书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发货单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2.    我某公司与外商签订一份 CIF 出口合同，以 L/C 为支付方式。国外银行开来的信用证中规定：“信用证有效期为 6 月 10 日，最迟装运期为 5 月 31 日。”我方加紧备货出运，于 5 月 21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日取得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大副收据，并换回正本已装船清洁提单，我方应不迟于（）向银行提交单据。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14C9E5D1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43992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43982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43993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43972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3.    信用证的到期日为 12 月 31 日，最迟装运期为 12 月 15 日，最迟交单日期为运输单据出单后 15 天，出口人备妥货物安排出运的时间是 12 月 10 日，则出口人最迟应于（）向银行交单议付。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208240E5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44185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44180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44190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44196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4.    按《UCP 600》解释，若信用证条款中未明确规定是否“允许分批装运”、“允许转运”，则应视为（）。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40004CFC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可允许分批装运，但不允许转运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可允许分批装运和转运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不允许分批装运和转运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可允许转运，但不允许分批装运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5.    按国际保险市场惯例，投保金额通常在 CIF 总值的基础上（）。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66963770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A.    加二成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加四成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加三成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加一成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6.    我某公司出口稻谷一批，因保险事故被海水浸泡多时而丧失其原有用途，货到目的港后只能低价出售，这种损失属于（）。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2BD9A000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共同损失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实际全损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单独损失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推定全损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7.    CIC“特殊附加险”是指在特殊情况下，要求保险公司承保的险别，（）。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56DBF172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不能单独投保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可单独投保两项以上的“特殊附加险”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一般可以单独投保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在被保险人统一的情况下，可以单独投保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8.    某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批出口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货物投保了水渍险，在运输过程中由于雨淋致使货物遭受部分损失，这样的损失保险公司将（）。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4ECA8D43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在被保险人同意的情况下，保险公司负责赔偿被雨淋湿的部分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负责赔偿整批货物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不给予赔偿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负责赔偿被雨淋湿的部分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9.    同国际市场的惯例一样，我国海运货物基本险的保险期限一般也采用（）的原则。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4B9A1DEE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门到门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港到港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桌到桌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 xml:space="preserve">D.    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仓至仓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10.    某公司按 CIF 出口一批货物，但因海轮在运输途中遇难，货物全部灭失，买方（）。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727AFE16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可以向承运人要求赔偿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由银行决定是否付款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应该凭卖方提供的全套单据付款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可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借货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物未到岸之事实而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不予付款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11.    属于顺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汇方法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的支付方式是（）。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73728EE5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托收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信用证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银行保函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汇付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12.    属于银行信用的国际贸易支付方式是（）。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0CE0DF9B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托收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汇付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信用证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票汇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13.    下列几种结算方式中，对卖方而言风险最大的是（）。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29EEECE4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即期付款交单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远期付款交单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票汇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承兑交单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14.    某支票签发人在银行的存款总额低于他所签发的支票票面金额，他签发的这种支票称（）。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4E02A76A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A.    旅行支票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转收支票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空头支票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现金支票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15.    根据《UCP600》，“转运”是指(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56DD7D60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在航空运输情况下，从信用证规定的启航机场到目的港机场的运输过程中，从一架飞机上卸下，再装上另一架飞机。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在海运情况下，从信用证规定的装货港和卸货港的运输过程中，从一艘船只卸下，再装上另一只船只。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在铁路运输情况下，从信用证规定的装运地到目的地的运输过程中，从一辆火车上卸下，再装上另一辆火车。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在公路运输情况下，从信用证规定的装运地到目的地的运输过程中，从一辆汽车上卸下，再装上另一辆汽车。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在多式联运情况下，从信用证规定的装运地到目的地的运输过程中，从一辆火车上卸下，再装上另一辆船只。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16.    即使信用证禁止转运，注明发生以下有关转运内容的运输单据也可被银行接受。( )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0A1FACFC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注明将发生或可能发生转运的空运单据。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注明将发生或可能发生转运的公路、铁路或内河运输的运输单据。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只要提单上证明有关货物是由集装箱装运的。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卖方在提单上签章证明货物虽被转运但数量未短少。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承运人在提单上签章证明货物虽被转运但数量未短少。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17.    下列危险中属于自然灾害的有( )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7C3C029B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雷电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火山爆发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地震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恶劣气候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海啸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18.    下列哪些情况构成实际全损(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253CE3F4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保险标的已完全灭失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船舶失踪达到一定时间仍无音讯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船舶搁浅，船上的保险标的无法施救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保险标的已丧失了原有的用途和价值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保险标的已不再归被保险人所有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19.    共同海损的构成要件包括(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2C01D3FE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危险必须是真实的、紧迫的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牺牲必须是特殊的，费用必须是额外支付的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危险必须是危及船货共同安全的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采取的行为必须是有效的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采取的行为必须是合理的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20.    下列哪几项属于我国海运保险水渍险的承保范围(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5D2E94A2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货物由于恶劣气候遭受的部分损失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运输工具被敌方炮火击中沉没而使货物全损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运输工具由于搁浅而使货物遭受部分损失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在装卸时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一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件货物因落海而部分损失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货物由于被偷窃而全损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21.    班轮运输的运费应该包括（）。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5F08F121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卸货费和速遣费，不计滞期费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卸货费和滞期费，不计速遣费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装卸费，不计滞期费、速遣费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装卸费，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但计滞期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费、速遣费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22.    以下属于海运货物保险一般附加险的有(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75175680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A.    渗漏险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串味险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舱面险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受潮受热险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罢工险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23.    我国航空货物运输保险的基本险可分为(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1B5E72B3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航空主险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航空水渍险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航空平安险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航空险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航空一切险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24.    汇票的抬头写法有(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1162FCCB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指示性抬头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空白抬头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限制性抬头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来人抬头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指定性抬头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C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25.    汇票付款日期的规定方法中属远期付款的有(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1D88C154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见票后定期付款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提单日后定期付款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见票即付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出票后定期付款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指定日期付款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26.    背书的方式有(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226D753B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限制性背书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特别背书或记名背书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来人背书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D.    空白背书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指示性背书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27.    本票与汇票的区别在于(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5C37175F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前者的主债务人不会变化，后者的主债务人因承兑而发生变化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前者在使用过程中无需承兑，后者则有承兑环节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前者只能一式一份，后者可以开出一套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前者的票面当事人为两个，后者则三个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前者是无条件支付承诺，后者是无条件的支付命令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28.    国际贸易中，汇付方式通常用于(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48888788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随订单付现业务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凭单付汇业务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货到付款业务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寄售方式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预付货款业务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C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29.    信用证支付方式的特点是(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38C43516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信用证是自足文件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信用证是单据买卖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信用证依附于买卖合同而存在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信用证是商业信用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信用证是银行信用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正确答案：A B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30.    开证人申请开立信用证时，应向开证行交付( )。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多选题(4.0分)（难易度:中）</w:t>
      </w:r>
    </w:p>
    <w:p w14:paraId="5A356E2C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保险费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邮电费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货款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押金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E.    开证手续费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 D E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31.    属于顺</w:t>
      </w:r>
      <w:proofErr w:type="gramStart"/>
      <w:r w:rsidRPr="005D4020">
        <w:rPr>
          <w:rFonts w:asciiTheme="majorEastAsia" w:eastAsiaTheme="majorEastAsia" w:hAnsiTheme="majorEastAsia"/>
          <w:sz w:val="24"/>
          <w:szCs w:val="24"/>
        </w:rPr>
        <w:t>汇方法</w:t>
      </w:r>
      <w:proofErr w:type="gramEnd"/>
      <w:r w:rsidRPr="005D4020">
        <w:rPr>
          <w:rFonts w:asciiTheme="majorEastAsia" w:eastAsiaTheme="majorEastAsia" w:hAnsiTheme="majorEastAsia"/>
          <w:sz w:val="24"/>
          <w:szCs w:val="24"/>
        </w:rPr>
        <w:t>的支付方式是（）。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4ED07E60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托收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信用证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银行保函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汇付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32.    属于银行信用的国际贸易支付方式是（）。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2F8D1466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托收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汇付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信用证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票汇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33.    下列几种结算方式中，对卖方而言风险最大的是（）。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525459A1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即期付款交单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远期付款交单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票汇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承兑交单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正确答案：D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34.    某支票签发人在银行的存款总额低于他所签发的支票票面金额，他签发的这种支票称（）。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08FF67C2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旅行支票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转收支票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C.    空头支票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现金支票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正确答案：C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35.    在众多检验商品品质的方法中，最常用的是（）。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color w:val="494949"/>
          <w:sz w:val="24"/>
          <w:szCs w:val="24"/>
        </w:rPr>
        <w:t>单选题(2.0分)（难易度:中）</w:t>
      </w:r>
    </w:p>
    <w:p w14:paraId="493C3107" w14:textId="77777777" w:rsidR="00631495" w:rsidRPr="005D4020" w:rsidRDefault="00000000">
      <w:pPr>
        <w:pStyle w:val="Normal1"/>
        <w:spacing w:line="24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5D4020">
        <w:rPr>
          <w:rFonts w:asciiTheme="majorEastAsia" w:eastAsiaTheme="majorEastAsia" w:hAnsiTheme="majorEastAsia"/>
          <w:sz w:val="24"/>
          <w:szCs w:val="24"/>
        </w:rPr>
        <w:t>A.    装运港检验重量、目的港检验品质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B.    出口国检验、进口国复验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</w:r>
      <w:r w:rsidRPr="005D4020">
        <w:rPr>
          <w:rFonts w:asciiTheme="majorEastAsia" w:eastAsiaTheme="majorEastAsia" w:hAnsiTheme="majorEastAsia"/>
          <w:sz w:val="24"/>
          <w:szCs w:val="24"/>
        </w:rPr>
        <w:lastRenderedPageBreak/>
        <w:t>C.    装运港检验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D.    目的港检验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正确答案：B</w:t>
      </w:r>
      <w:r w:rsidRPr="005D4020">
        <w:rPr>
          <w:rFonts w:asciiTheme="majorEastAsia" w:eastAsiaTheme="majorEastAsia" w:hAnsiTheme="majorEastAsia"/>
          <w:sz w:val="24"/>
          <w:szCs w:val="24"/>
        </w:rPr>
        <w:br/>
        <w:t>正确答案解释：</w:t>
      </w:r>
    </w:p>
    <w:sectPr w:rsidR="00631495" w:rsidRPr="005D4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226853">
    <w:abstractNumId w:val="8"/>
  </w:num>
  <w:num w:numId="2" w16cid:durableId="1785490701">
    <w:abstractNumId w:val="6"/>
  </w:num>
  <w:num w:numId="3" w16cid:durableId="1486359403">
    <w:abstractNumId w:val="5"/>
  </w:num>
  <w:num w:numId="4" w16cid:durableId="500001096">
    <w:abstractNumId w:val="4"/>
  </w:num>
  <w:num w:numId="5" w16cid:durableId="2078433317">
    <w:abstractNumId w:val="7"/>
  </w:num>
  <w:num w:numId="6" w16cid:durableId="689256242">
    <w:abstractNumId w:val="3"/>
  </w:num>
  <w:num w:numId="7" w16cid:durableId="470173318">
    <w:abstractNumId w:val="2"/>
  </w:num>
  <w:num w:numId="8" w16cid:durableId="1350528348">
    <w:abstractNumId w:val="1"/>
  </w:num>
  <w:num w:numId="9" w16cid:durableId="210679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F20"/>
    <w:rsid w:val="0006063C"/>
    <w:rsid w:val="0015074B"/>
    <w:rsid w:val="001532C5"/>
    <w:rsid w:val="0029639D"/>
    <w:rsid w:val="00326F90"/>
    <w:rsid w:val="005D4020"/>
    <w:rsid w:val="00631495"/>
    <w:rsid w:val="00AA1D8D"/>
    <w:rsid w:val="00B47730"/>
    <w:rsid w:val="00C07C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B4959"/>
  <w14:defaultImageDpi w14:val="300"/>
  <w15:docId w15:val="{4DC4B723-7227-4226-8E83-CE869DE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1"/>
    <w:next w:val="a1"/>
    <w:link w:val="a7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标题 字符"/>
    <w:basedOn w:val="a2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9">
    <w:name w:val="副标题 字符"/>
    <w:basedOn w:val="a2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ac"/>
    <w:uiPriority w:val="99"/>
    <w:unhideWhenUsed/>
    <w:rsid w:val="00AA1D8D"/>
    <w:pPr>
      <w:spacing w:after="120"/>
    </w:pPr>
  </w:style>
  <w:style w:type="character" w:customStyle="1" w:styleId="ac">
    <w:name w:val="正文文本 字符"/>
    <w:basedOn w:val="a2"/>
    <w:link w:val="ab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">
    <w:name w:val="macro"/>
    <w:link w:val="af0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0">
    <w:name w:val="宏文本 字符"/>
    <w:basedOn w:val="a2"/>
    <w:link w:val="af"/>
    <w:uiPriority w:val="99"/>
    <w:rsid w:val="0029639D"/>
    <w:rPr>
      <w:rFonts w:ascii="Courier" w:hAnsi="Courier"/>
      <w:sz w:val="20"/>
      <w:szCs w:val="20"/>
    </w:rPr>
  </w:style>
  <w:style w:type="paragraph" w:styleId="af1">
    <w:name w:val="Quote"/>
    <w:basedOn w:val="a1"/>
    <w:next w:val="a1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af2">
    <w:name w:val="引用 字符"/>
    <w:basedOn w:val="a2"/>
    <w:link w:val="af1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4">
    <w:name w:val="Strong"/>
    <w:basedOn w:val="a2"/>
    <w:uiPriority w:val="22"/>
    <w:qFormat/>
    <w:rsid w:val="00FC693F"/>
    <w:rPr>
      <w:b/>
      <w:bCs/>
    </w:rPr>
  </w:style>
  <w:style w:type="character" w:styleId="af5">
    <w:name w:val="Emphasis"/>
    <w:basedOn w:val="a2"/>
    <w:uiPriority w:val="20"/>
    <w:qFormat/>
    <w:rsid w:val="00FC693F"/>
    <w:rPr>
      <w:i/>
      <w:iCs/>
    </w:rPr>
  </w:style>
  <w:style w:type="paragraph" w:styleId="af6">
    <w:name w:val="Intense Quote"/>
    <w:basedOn w:val="a1"/>
    <w:next w:val="a1"/>
    <w:link w:val="af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7">
    <w:name w:val="明显引用 字符"/>
    <w:basedOn w:val="a2"/>
    <w:link w:val="af6"/>
    <w:uiPriority w:val="30"/>
    <w:rsid w:val="00FC693F"/>
    <w:rPr>
      <w:b/>
      <w:bCs/>
      <w:i/>
      <w:iCs/>
      <w:color w:val="4F81BD" w:themeColor="accent1"/>
    </w:rPr>
  </w:style>
  <w:style w:type="character" w:styleId="af8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a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b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d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e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0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1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2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3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4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0">
    <w:name w:val="Normal_0"/>
    <w:qFormat/>
    <w:rsid w:val="00FC693F"/>
    <w:rPr>
      <w:rFonts w:ascii="宋体" w:eastAsia="宋体" w:hAnsi="宋体"/>
      <w:sz w:val="20"/>
    </w:rPr>
  </w:style>
  <w:style w:type="paragraph" w:customStyle="1" w:styleId="Normal1">
    <w:name w:val="Normal_1"/>
    <w:qFormat/>
    <w:rsid w:val="00FC693F"/>
    <w:rPr>
      <w:rFonts w:ascii="宋体" w:eastAsia="宋体" w:hAnsi="宋体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Lithium Lee</cp:lastModifiedBy>
  <cp:revision>5</cp:revision>
  <dcterms:created xsi:type="dcterms:W3CDTF">2013-12-23T23:15:00Z</dcterms:created>
  <dcterms:modified xsi:type="dcterms:W3CDTF">2025-10-20T03:02:00Z</dcterms:modified>
</cp:coreProperties>
</file>