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业务服务器清单、架构说明与备份方案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（慢性病管理系统 / 微信 H5 业务）</w:t>
      </w:r>
    </w:p>
    <w:p>
      <w:r>
        <w:rPr>
          <w:rFonts w:ascii="黑体" w:hAnsi="黑体" w:eastAsia="黑体"/>
          <w:b/>
          <w:sz w:val="28"/>
        </w:rPr>
        <w:t>一、业务服务器清单及所需服务器资源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本系统采用“内网应用服务器 + DMZ 区前置机”两台虚拟机部署。应用服务器承载主程序与数据库；前置机承载 Nginx 及对外接口程序，用于开放外网访问手机端应用。</w:t>
      </w:r>
    </w:p>
    <w:p>
      <w:r>
        <w:rPr>
          <w:rFonts w:ascii="黑体" w:hAnsi="黑体" w:eastAsia="黑体"/>
          <w:b/>
          <w:sz w:val="24"/>
        </w:rPr>
        <w:t>表1  硬件环境配置表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硬件设备名称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配置要求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24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应用服务器</w:t>
              <w:br/>
              <w:t>（内网 / ManBing-app）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（1）设备配置4颗处理器，2.10GHz主频（Intel Xeon Gold 5318Y）；</w:t>
              <w:br/>
              <w:t>（2）内存配置16GB；</w:t>
              <w:br/>
              <w:t>（3）硬盘配置2块VMware虚拟SCSI硬盘；</w:t>
              <w:br/>
              <w:t>（4）网络接口配置1块vmxnet3以太网适配器（VMware虚拟万兆网卡）；</w:t>
              <w:br/>
              <w:t>（5）Microsoft Windows Server 2019 Standard操作系统（64位）；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1台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部署于医院内网；VMware虚拟机；部署Tomcat应用与MariaDB数据库；计算机全名：ManBing-app.hnzyfy.com；域：hnzyfy.com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前置机</w:t>
              <w:br/>
              <w:t>（DMZ区）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（1）设备配置4颗处理器，2.10GHz主频（Intel Xeon Gold 5318Y）；</w:t>
              <w:br/>
              <w:t>（2）内存配置8GB；</w:t>
              <w:br/>
              <w:t>（3）存储配置500GB；</w:t>
              <w:br/>
              <w:t>（4）网络接口配置于DMZ区（VMware虚拟网卡）；</w:t>
              <w:br/>
              <w:t>（5）Microsoft Windows Server 2019 Standard操作系统（64位）；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1台</w:t>
            </w:r>
          </w:p>
        </w:tc>
        <w:tc>
          <w:tcPr>
            <w:tcW w:type="dxa" w:w="243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部署于DMZ区；VMware虚拟机；部署Nginx、微信接口程序、短信接口程序；对外提供手机端H5访问入口</w:t>
            </w:r>
          </w:p>
        </w:tc>
      </w:tr>
    </w:tbl>
    <w:p>
      <w:r>
        <w:rPr>
          <w:rFonts w:ascii="黑体" w:hAnsi="黑体" w:eastAsia="黑体"/>
          <w:b/>
          <w:sz w:val="24"/>
        </w:rPr>
        <w:t>软件组件部署一览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服务器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部署组件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参考地址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应用服务器（内网）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Tomcat、MariaDB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主程序运行与业务数据存储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192.168.8.152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前置机（DMZ）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Nginx、微信接口、短信接口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外网访问入口及第三方接口转发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172.17.4.87</w:t>
            </w:r>
          </w:p>
        </w:tc>
      </w:tr>
    </w:tbl>
    <w:p>
      <w:r>
        <w:rPr>
          <w:rFonts w:ascii="黑体" w:hAnsi="黑体" w:eastAsia="黑体"/>
          <w:b/>
          <w:sz w:val="28"/>
        </w:rPr>
        <w:t>二、业务服务器架构说明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系统采用分层部署：外网用户通过医院公网IP及二级域名访问DMZ区前置机；前置机经Nginx反向代理及接口程序，单向访问内网应用服务器上的应用服务与数据库服务。内网服务器不直接对公网开放。</w:t>
      </w:r>
    </w:p>
    <w:p>
      <w:r>
        <w:rPr>
          <w:rFonts w:ascii="黑体" w:hAnsi="黑体" w:eastAsia="黑体"/>
          <w:b/>
          <w:sz w:val="24"/>
        </w:rPr>
        <w:t>2.1 架构拓扑（逻辑）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手机端用户 / 微信H5 → 医院二级域名解析至医院公网IP → 公网IP代理转发至DMZ前置机（Nginx，端口30348） → 前置机单向访问内网应用服务器（端口3307数据库、18989 Nginx/应用） → 前置机按需访问腾讯微信接口域名（api.weixin.qq.com、mp.weixin.qq.com）。</w:t>
      </w:r>
    </w:p>
    <w:p>
      <w:r>
        <w:rPr>
          <w:rFonts w:ascii="黑体" w:hAnsi="黑体" w:eastAsia="黑体"/>
          <w:b/>
          <w:sz w:val="24"/>
        </w:rPr>
        <w:t>2.2 网络开通要求摘要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源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协议/端口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前置机</w:t>
              <w:br/>
              <w:t>172.17.4.87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api.weixin.qq.com</w:t>
              <w:br/>
              <w:t>mp.weixin.qq.com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HTTPS / TCP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访问腾讯微信原生接口（单向）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前置机</w:t>
              <w:br/>
              <w:t>172.17.4.87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应用服务器</w:t>
              <w:br/>
              <w:t>192.168.8.152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TCP 3307、18989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访问数据库及Nginx/应用端口（单向）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医院公网IP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前置机</w:t>
              <w:br/>
              <w:t>172.17.4.87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TCP 30348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公网代理访问前置机Nginx服务（单向）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医院二级域名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医院公网IP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DNS解析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微信H5页面域名解析</w:t>
            </w:r>
          </w:p>
        </w:tc>
      </w:tr>
    </w:tbl>
    <w:p>
      <w:r>
        <w:rPr>
          <w:rFonts w:ascii="宋体" w:hAnsi="宋体" w:eastAsia="宋体"/>
          <w:b w:val="0"/>
          <w:color w:val="555555"/>
          <w:sz w:val="18"/>
        </w:rPr>
        <w:t>说明：医院公网IP及二级域名由医院侧提供；短信接口出网地址如有额外白名单要求，部署时另行确认开通。</w:t>
      </w:r>
    </w:p>
    <w:p>
      <w:r>
        <w:rPr>
          <w:rFonts w:ascii="黑体" w:hAnsi="黑体" w:eastAsia="黑体"/>
          <w:b/>
          <w:sz w:val="28"/>
        </w:rPr>
        <w:t>三、两机房部署说明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经项目沟通确认，本期不实施两机房（双中心）部署。系统按单机房方案建设：内网应用服务器1台 + DMZ前置机1台。如后续医院有同城灾备或两机房需求，可另行评估主备切换、数据同步及网络专线条件后补充方案。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本期结论：不支持/不实施两机房双活或双中心部署。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本期部署模式：单机房，虚拟化部署（VMware）。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可用性保障：依赖本机房虚拟化平台高可用能力及下文备份恢复方案。</w:t>
      </w:r>
    </w:p>
    <w:p>
      <w:r>
        <w:rPr>
          <w:rFonts w:ascii="黑体" w:hAnsi="黑体" w:eastAsia="黑体"/>
          <w:b/>
          <w:sz w:val="28"/>
        </w:rPr>
        <w:t>四、备份方案</w:t>
      </w:r>
    </w:p>
    <w:p>
      <w:r>
        <w:rPr>
          <w:rFonts w:ascii="黑体" w:hAnsi="黑体" w:eastAsia="黑体"/>
          <w:b/>
          <w:sz w:val="24"/>
        </w:rPr>
        <w:t>4.1 备份对象与策略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备份对象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MariaDB业务数据库（全量）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备份方式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mysqldump 逻辑全量备份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备份频率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全量备份（建议每日执行，具体时间窗口与医院运维协商）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保留周期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保留半年（约180天）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存放位置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应用服务器本机磁盘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恢复责任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由乙方运维人员负责执行恢复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恢复说明</w:t>
            </w:r>
          </w:p>
        </w:tc>
        <w:tc>
          <w:tcPr>
            <w:tcW w:type="dxa" w:w="765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根据备份文件使用mysql客户端导入恢复；恢复前确认停服窗口</w:t>
            </w:r>
          </w:p>
        </w:tc>
      </w:tr>
    </w:tbl>
    <w:p>
      <w:r>
        <w:rPr>
          <w:rFonts w:ascii="黑体" w:hAnsi="黑体" w:eastAsia="黑体"/>
          <w:b/>
          <w:sz w:val="24"/>
        </w:rPr>
        <w:t>4.2 备份与恢复流程要点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日常：在应用服务器上按计划执行 mysqldump 全量导出，备份文件保留于本机指定目录，超期文件按半年策略清理。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异常恢复：由乙方运维定位故障点，选用对应时点备份文件完成数据库恢复，并验证业务可用性。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说明：本方案为数据库级逻辑备份；应用配置及前置机Nginx/接口配置变更后，建议同步留存配置副本。虚拟机级快照可由医院虚拟化平台按院内规范另行管理。</w:t>
      </w:r>
    </w:p>
    <w:p>
      <w:r>
        <w:rPr>
          <w:rFonts w:ascii="黑体" w:hAnsi="黑体" w:eastAsia="黑体"/>
          <w:b/>
          <w:sz w:val="24"/>
        </w:rPr>
        <w:t>4.3 建议关注事项（供医院评审）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备份存于本机，存在与生产机同损风险；如医院有统一备份平台或异地存储，建议将 mysqldump 结果同步拷贝一份至备份平台。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应用服务器表中“2块虚拟SCSI硬盘”未标注容量，建议部署前与医院确认数据盘容量，确保可容纳半年备份文件增长。</w:t>
      </w:r>
    </w:p>
    <w:p>
      <w:r>
        <w:rPr>
          <w:rFonts w:ascii="黑体" w:hAnsi="黑体" w:eastAsia="黑体"/>
          <w:b/>
          <w:sz w:val="28"/>
        </w:rPr>
        <w:t>五、配置结论汇总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服务器数量：2台虚拟机（内网应用服务器1台、DMZ前置机1台）。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核心资源：应用服务器 4vCPU / 16GB；前置机 4vCPU / 8GB / 500GB；操作系统均为 Windows Server 2019 Standard。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架构：前置机对外、应用服务器对内；数据库与主程序同机部署于内网。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两机房：本期不实施。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备份：mysqldump 全量备份数据库，保留半年，存本机，由乙方运维恢复。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