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xvr5ng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门店客源管理实战</w:t>
      </w:r>
    </w:p>
    <w:p>
      <w:pPr>
        <w:pStyle w:val="mvjiq2"/>
        <w:numPr>
          <w:ilvl w:val="0"/>
          <w:numId w:val="1"/>
        </w:numPr>
        <w:pBdr/>
        <w:snapToGrid/>
        <w:spacing w:line="408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讲师与门店基础信息</w:t>
      </w:r>
    </w:p>
    <w:tbl>
      <w:tblPr>
        <w:tblStyle w:val="sx06da"/>
        <w:tblLayout w:type="fixed"/>
        <w:tblLook w:firstRow="true" w:lastRow="false" w:firstColumn="true" w:lastColumn="false" w:noHBand="false" w:noVBand="true"/>
      </w:tblPr>
      <w:tblGrid>
        <w:gridCol w:w="2250"/>
        <w:gridCol w:w="6750"/>
      </w:tblGrid>
      <w:tr>
        <w:trPr>
          <w:wBefore/>
          <w:trHeight/>
        </w:trPr>
        <w:tc>
          <w:tcPr>
            <w:tcW w:w="2250" w:type="dxa"/>
            <w:vMerge w:val="restart"/>
          </w:tcPr>
          <w:p>
            <w:pPr>
              <w:numPr/>
              <w:snapToGrid/>
              <w:spacing w:line="408"/>
              <w:ind/>
              <w:rPr/>
            </w:pPr>
            <w:r>
              <w:rPr/>
              <w:drawing>
                <wp:inline distT="0" distB="0" distL="0" distR="0">
                  <wp:extent cx="1291590" cy="1937385"/>
                  <wp:effectExtent l="0" t="0" r="0" b="0"/>
                  <wp:docPr id="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" name="picture" descr="descript"/>
                          <pic:cNvPicPr/>
                        </pic:nvPicPr>
                        <pic:blipFill rotWithShape="true">
                          <a:blip r:embed="rId4">
                            <a:extLst/>
                          </a:blip>
                          <a:srcRect/>
                          <a:stretch/>
                        </pic:blipFill>
                        <pic:spPr>
                          <a:xfrm flipH="false" flipV="false">
                            <a:off x="0" y="0"/>
                            <a:ext cx="1291590" cy="1937385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50" w:type="dxa"/>
          </w:tcPr>
          <w:p>
            <w:pPr>
              <w:numPr>
                <w:ilvl w:val="0"/>
                <w:numId w:val="2"/>
              </w:numPr>
              <w:pBdr>
                <w:bottom/>
              </w:pBdr>
              <w:snapToGrid/>
              <w:spacing w:line="312"/>
              <w:ind/>
              <w:rPr/>
            </w:pPr>
            <w:r>
              <w:rPr>
                <w:b/>
                <w:i w:val="false"/>
                <w:strike w:val="false"/>
                <w:color w:val="000000"/>
                <w:u w:val="none"/>
              </w:rPr>
              <w:t>讲师</w:t>
            </w:r>
            <w:r>
              <w:rPr>
                <w:i w:val="false"/>
                <w:strike w:val="false"/>
                <w:color w:val="000000"/>
                <w:u w:val="none"/>
              </w:rPr>
              <w:t>：赵建磊</w:t>
            </w:r>
          </w:p>
        </w:tc>
      </w:tr>
      <w:tr>
        <w:trPr>
          <w:wBefore/>
          <w:trHeight/>
        </w:trPr>
        <w:tc>
          <w:tcPr>
            <w:tcW w:w="2250" w:type="dxa"/>
            <w:vMerge w:val="continue"/>
          </w:tcPr>
          <w:p>
            <w:pPr>
              <w:numPr/>
              <w:snapToGrid/>
              <w:spacing w:line="408"/>
              <w:ind/>
              <w:rPr/>
            </w:pPr>
          </w:p>
        </w:tc>
        <w:tc>
          <w:tcPr>
            <w:tcW w:w="6750" w:type="dxa"/>
          </w:tcPr>
          <w:p>
            <w:pPr>
              <w:numPr>
                <w:ilvl w:val="0"/>
                <w:numId w:val="2"/>
              </w:numPr>
              <w:pBdr>
                <w:bottom/>
              </w:pBdr>
              <w:snapToGrid/>
              <w:spacing w:line="312"/>
              <w:ind/>
              <w:rPr/>
            </w:pPr>
            <w:r>
              <w:rPr>
                <w:b/>
                <w:i w:val="false"/>
                <w:strike w:val="false"/>
                <w:color w:val="000000"/>
                <w:u w:val="none"/>
              </w:rPr>
              <w:t>从业经历</w:t>
            </w:r>
            <w:r>
              <w:rPr>
                <w:i w:val="false"/>
                <w:strike w:val="false"/>
                <w:color w:val="000000"/>
                <w:u w:val="none"/>
              </w:rPr>
              <w:t>：2009年7月13日进入房产行业，2024年11月26日创业加盟贝壳平台</w:t>
            </w:r>
          </w:p>
        </w:tc>
      </w:tr>
      <w:tr>
        <w:trPr>
          <w:wBefore/>
          <w:trHeight/>
        </w:trPr>
        <w:tc>
          <w:tcPr>
            <w:tcW w:w="2250" w:type="dxa"/>
            <w:vMerge w:val="continue"/>
          </w:tcPr>
          <w:p>
            <w:pPr>
              <w:numPr/>
              <w:snapToGrid/>
              <w:spacing w:line="408"/>
              <w:ind/>
              <w:rPr/>
            </w:pPr>
          </w:p>
        </w:tc>
        <w:tc>
          <w:tcPr>
            <w:tcW w:w="6750" w:type="dxa"/>
          </w:tcPr>
          <w:p>
            <w:pPr>
              <w:numPr>
                <w:ilvl w:val="0"/>
                <w:numId w:val="2"/>
              </w:numPr>
              <w:pBdr>
                <w:bottom/>
              </w:pBdr>
              <w:snapToGrid/>
              <w:spacing w:line="312"/>
              <w:ind/>
              <w:rPr/>
            </w:pPr>
            <w:r>
              <w:rPr>
                <w:b/>
                <w:i w:val="false"/>
                <w:strike w:val="false"/>
                <w:color w:val="000000"/>
                <w:u w:val="none"/>
              </w:rPr>
              <w:t>门店信息</w:t>
            </w:r>
            <w:r>
              <w:rPr>
                <w:i w:val="false"/>
                <w:strike w:val="false"/>
                <w:color w:val="000000"/>
                <w:u w:val="none"/>
              </w:rPr>
              <w:t>：德佑锦海天空之境旗舰店，位于河西区太湖路与梦湖西道交口天空之境底商</w:t>
            </w:r>
          </w:p>
        </w:tc>
      </w:tr>
      <w:tr>
        <w:trPr>
          <w:wBefore/>
          <w:trHeight/>
        </w:trPr>
        <w:tc>
          <w:tcPr>
            <w:tcW w:w="2250" w:type="dxa"/>
            <w:vMerge w:val="continue"/>
          </w:tcPr>
          <w:p>
            <w:pPr>
              <w:numPr/>
              <w:snapToGrid/>
              <w:spacing w:line="408"/>
              <w:ind/>
              <w:rPr/>
            </w:pPr>
          </w:p>
        </w:tc>
        <w:tc>
          <w:tcPr>
            <w:tcW w:w="6750" w:type="dxa"/>
          </w:tcPr>
          <w:p>
            <w:pPr>
              <w:numPr>
                <w:ilvl w:val="0"/>
                <w:numId w:val="2"/>
              </w:numPr>
              <w:pBdr>
                <w:bottom/>
              </w:pBdr>
              <w:snapToGrid/>
              <w:spacing w:line="312"/>
              <w:ind/>
              <w:rPr/>
            </w:pPr>
            <w:r>
              <w:rPr>
                <w:b/>
                <w:i w:val="false"/>
                <w:strike w:val="false"/>
                <w:color w:val="000000"/>
                <w:u w:val="none"/>
              </w:rPr>
              <w:t>团队规模</w:t>
            </w:r>
            <w:r>
              <w:rPr>
                <w:i w:val="false"/>
                <w:strike w:val="false"/>
                <w:color w:val="000000"/>
                <w:u w:val="none"/>
              </w:rPr>
              <w:t>：1+12人（综合经纪人9人、租赁经纪人3人）</w:t>
            </w:r>
          </w:p>
        </w:tc>
      </w:tr>
      <w:tr>
        <w:trPr>
          <w:wBefore/>
          <w:trHeight/>
        </w:trPr>
        <w:tc>
          <w:tcPr>
            <w:tcW w:w="2250" w:type="dxa"/>
            <w:vMerge w:val="continue"/>
          </w:tcPr>
          <w:p>
            <w:pPr>
              <w:numPr/>
              <w:snapToGrid/>
              <w:spacing w:line="408"/>
              <w:ind/>
              <w:rPr/>
            </w:pPr>
          </w:p>
        </w:tc>
        <w:tc>
          <w:tcPr>
            <w:tcW w:w="6750" w:type="dxa"/>
          </w:tcPr>
          <w:p>
            <w:pPr>
              <w:numPr>
                <w:ilvl w:val="0"/>
                <w:numId w:val="2"/>
              </w:numPr>
              <w:pBdr>
                <w:bottom/>
              </w:pBdr>
              <w:snapToGrid/>
              <w:spacing w:line="312"/>
              <w:ind/>
              <w:rPr/>
            </w:pPr>
            <w:r>
              <w:rPr>
                <w:b/>
                <w:i w:val="false"/>
                <w:strike w:val="false"/>
                <w:color w:val="000000"/>
                <w:u w:val="none"/>
              </w:rPr>
              <w:t>业绩数据</w:t>
            </w:r>
            <w:r>
              <w:rPr>
                <w:i w:val="false"/>
                <w:strike w:val="false"/>
                <w:color w:val="000000"/>
                <w:u w:val="none"/>
              </w:rPr>
              <w:t>：2025年年度业绩360万，人效2.3万</w:t>
            </w:r>
          </w:p>
        </w:tc>
      </w:tr>
    </w:tbl>
    <w:p>
      <w:pPr>
        <w:pStyle w:val="5ynw46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二、门店做客源管理的核心目的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客源管理</w:t>
      </w:r>
      <w:r>
        <w:rPr>
          <w:b/>
          <w:i w:val="false"/>
          <w:strike w:val="false"/>
          <w:color w:val="000000"/>
          <w:u w:val="none"/>
        </w:rPr>
        <w:t>为目标与收入服务</w:t>
      </w:r>
      <w:r>
        <w:rPr>
          <w:i w:val="false"/>
          <w:strike w:val="false"/>
          <w:color w:val="000000"/>
          <w:u w:val="none"/>
        </w:rPr>
        <w:t>，一切不以目标为核心的管理行为均属于内耗，需先明确目标逻辑与收入逻辑。</w:t>
      </w:r>
    </w:p>
    <w:p>
      <w:pPr>
        <w:pStyle w:val="384stn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目标制定逻辑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总目标业绩=房源业绩+客源业绩+新房业绩+租赁业绩</w:t>
      </w:r>
    </w:p>
    <w:p>
      <w:pPr>
        <w:pStyle w:val="139kdj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业绩拆解公式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目标业绩=商机量×转化率×客单价</w:t>
      </w:r>
    </w:p>
    <w:p>
      <w:pPr>
        <w:pStyle w:val="m8waz7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关键客源节点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7日委托客户、7日带看客户、磋商客户</w:t>
      </w:r>
    </w:p>
    <w:p>
      <w:pPr>
        <w:pStyle w:val="96r82m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三、门店房客管理机制（固定盘客日周历）</w:t>
      </w:r>
    </w:p>
    <w:tbl>
      <w:tblPr>
        <w:tblStyle w:val="sx06da"/>
        <w:tblLayout w:type="fixed"/>
      </w:tblPr>
      <w:tblGrid>
        <w:gridCol w:w="750"/>
        <w:gridCol w:w="7575"/>
      </w:tblGrid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星期</w:t>
            </w:r>
          </w:p>
        </w:tc>
        <w:tc>
          <w:tcPr>
            <w:tcW w:w="75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核心工作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周一</w:t>
            </w:r>
          </w:p>
        </w:tc>
        <w:tc>
          <w:tcPr>
            <w:tcW w:w="75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房源盘点：筛选优房，为周四盘客、周末带看储备资源，实现房客精准匹配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周二</w:t>
            </w:r>
          </w:p>
        </w:tc>
        <w:tc>
          <w:tcPr>
            <w:tcW w:w="75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新房踩盘：熟悉新房项目，提升一二手转化意识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周三</w:t>
            </w:r>
          </w:p>
        </w:tc>
        <w:tc>
          <w:tcPr>
            <w:tcW w:w="75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客源盘点：1V1梳理客户，校准匹配策略，制定行动计划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周四</w:t>
            </w:r>
          </w:p>
        </w:tc>
        <w:tc>
          <w:tcPr>
            <w:tcW w:w="75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梳理带看客户，重点客户陪看，协助沟通业主价格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周五</w:t>
            </w:r>
          </w:p>
        </w:tc>
        <w:tc>
          <w:tcPr>
            <w:tcW w:w="75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带看：店东陪看+磋商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周六</w:t>
            </w:r>
          </w:p>
        </w:tc>
        <w:tc>
          <w:tcPr>
            <w:tcW w:w="75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带看：店东陪看+磋商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周日</w:t>
            </w:r>
          </w:p>
        </w:tc>
        <w:tc>
          <w:tcPr>
            <w:tcW w:w="75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公休日</w:t>
            </w:r>
          </w:p>
        </w:tc>
      </w:tr>
    </w:tbl>
    <w:p>
      <w:pPr>
        <w:pStyle w:val="l7pux3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四、过程量化与闭环检查：积分制管理</w:t>
      </w:r>
    </w:p>
    <w:p>
      <w:pPr>
        <w:pStyle w:val="464ouk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日绩效积分标准</w:t>
      </w:r>
    </w:p>
    <w:tbl>
      <w:tblPr>
        <w:tblStyle w:val="l13lqw"/>
        <w:tblLayout w:type="fixed"/>
      </w:tblPr>
      <w:tblGrid>
        <w:gridCol w:w="2535"/>
        <w:gridCol w:w="750"/>
        <w:gridCol w:w="750"/>
        <w:gridCol w:w="2400"/>
      </w:tblGrid>
      <w:tr>
        <w:trPr/>
        <w:tc>
          <w:tcPr>
            <w:tcW w:w="25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考核项目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数量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分值</w:t>
            </w:r>
          </w:p>
        </w:tc>
        <w:tc>
          <w:tcPr>
            <w:tcW w:w="24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计算标准</w:t>
            </w:r>
          </w:p>
        </w:tc>
      </w:tr>
      <w:tr>
        <w:trPr/>
        <w:tc>
          <w:tcPr>
            <w:tcW w:w="25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新房带看量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24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按每套/每个项目计算</w:t>
            </w:r>
          </w:p>
        </w:tc>
      </w:tr>
      <w:tr>
        <w:trPr/>
        <w:tc>
          <w:tcPr>
            <w:tcW w:w="25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二手带看量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24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按每套/每个项目计算</w:t>
            </w:r>
          </w:p>
        </w:tc>
      </w:tr>
      <w:tr>
        <w:trPr/>
        <w:tc>
          <w:tcPr>
            <w:tcW w:w="25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租赁带看量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24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按每套计算</w:t>
            </w:r>
          </w:p>
        </w:tc>
      </w:tr>
      <w:tr>
        <w:trPr/>
        <w:tc>
          <w:tcPr>
            <w:tcW w:w="25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新增买卖房源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24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按每套计算</w:t>
            </w:r>
          </w:p>
        </w:tc>
      </w:tr>
      <w:tr>
        <w:trPr/>
        <w:tc>
          <w:tcPr>
            <w:tcW w:w="25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新增租赁房源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24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按每套计算</w:t>
            </w:r>
          </w:p>
        </w:tc>
      </w:tr>
      <w:tr>
        <w:trPr/>
        <w:tc>
          <w:tcPr>
            <w:tcW w:w="25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新增买卖客源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24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按每个客户计算</w:t>
            </w:r>
          </w:p>
        </w:tc>
      </w:tr>
      <w:tr>
        <w:trPr/>
        <w:tc>
          <w:tcPr>
            <w:tcW w:w="25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新增租赁客源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24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按每个客户计算</w:t>
            </w:r>
          </w:p>
        </w:tc>
      </w:tr>
      <w:tr>
        <w:trPr/>
        <w:tc>
          <w:tcPr>
            <w:tcW w:w="25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钥匙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24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按每套计算</w:t>
            </w:r>
          </w:p>
        </w:tc>
      </w:tr>
      <w:tr>
        <w:trPr/>
        <w:tc>
          <w:tcPr>
            <w:tcW w:w="25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实勘VR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24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按每套计算</w:t>
            </w:r>
          </w:p>
        </w:tc>
      </w:tr>
      <w:tr>
        <w:trPr/>
        <w:tc>
          <w:tcPr>
            <w:tcW w:w="25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推心租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24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按每套计算</w:t>
            </w:r>
          </w:p>
        </w:tc>
      </w:tr>
      <w:tr>
        <w:trPr/>
        <w:tc>
          <w:tcPr>
            <w:tcW w:w="25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加工必看好房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24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按每套计算</w:t>
            </w:r>
          </w:p>
        </w:tc>
      </w:tr>
      <w:tr>
        <w:trPr/>
        <w:tc>
          <w:tcPr>
            <w:tcW w:w="25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电开（10个）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24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按10个为单位计算</w:t>
            </w:r>
          </w:p>
        </w:tc>
      </w:tr>
      <w:tr>
        <w:trPr/>
        <w:tc>
          <w:tcPr>
            <w:tcW w:w="25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写房评（1个）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24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按每个计算</w:t>
            </w:r>
          </w:p>
        </w:tc>
      </w:tr>
      <w:tr>
        <w:trPr/>
        <w:tc>
          <w:tcPr>
            <w:tcW w:w="25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验房/踩盘（上限5个）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24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按每个计算</w:t>
            </w:r>
          </w:p>
        </w:tc>
      </w:tr>
      <w:tr>
        <w:trPr/>
        <w:tc>
          <w:tcPr>
            <w:tcW w:w="25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复聊（5个/1分）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24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每日复聊累计</w:t>
            </w:r>
          </w:p>
        </w:tc>
      </w:tr>
      <w:tr>
        <w:trPr/>
        <w:tc>
          <w:tcPr>
            <w:tcW w:w="25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签约（买卖/租赁）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</w:t>
            </w:r>
          </w:p>
        </w:tc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30</w:t>
            </w:r>
          </w:p>
        </w:tc>
        <w:tc>
          <w:tcPr>
            <w:tcW w:w="24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>
                <w:ilvl w:val="0"/>
                <w:numId w:val="3"/>
              </w:numPr>
              <w:snapToGrid/>
              <w:spacing w:before="0" w:after="0" w:line="240"/>
              <w:rPr/>
            </w:pPr>
          </w:p>
        </w:tc>
      </w:tr>
    </w:tbl>
    <w:p>
      <w:pPr>
        <w:pStyle w:val="gsuql1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执行标准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每日19:00前微信报备当日积分数据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积分上报最晚不超过次日10:00，超时不计入、无贝壳币奖励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当日达成15分及以上，正常打卡下班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未达成15分，无贝壳币奖励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每周六17:00前统一发放100贝壳币奖励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积分值可根据实际情况定期调整比重</w:t>
      </w:r>
    </w:p>
    <w:p>
      <w:pPr>
        <w:pStyle w:val="omhm99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五、客源分层管理策略</w:t>
      </w:r>
    </w:p>
    <w:tbl>
      <w:tblPr>
        <w:tblStyle w:val="gfc5zh"/>
        <w:tblLayout w:type="fixed"/>
      </w:tblPr>
      <w:tblGrid>
        <w:gridCol w:w="1200"/>
        <w:gridCol w:w="3960"/>
        <w:gridCol w:w="9330"/>
      </w:tblGrid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客户类型</w:t>
            </w:r>
          </w:p>
        </w:tc>
        <w:tc>
          <w:tcPr>
            <w:tcW w:w="39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客户群体</w:t>
            </w:r>
          </w:p>
        </w:tc>
        <w:tc>
          <w:tcPr>
            <w:tcW w:w="9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核心管理动作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A类客户</w:t>
            </w:r>
          </w:p>
        </w:tc>
        <w:tc>
          <w:tcPr>
            <w:tcW w:w="39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洽谈客户</w:t>
            </w:r>
          </w:p>
        </w:tc>
        <w:tc>
          <w:tcPr>
            <w:tcW w:w="9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店长参与谈单，店长对接业主端、经纪人对接客户端；业主端用市场数据、竞品分析提供建议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B类客户</w:t>
            </w:r>
          </w:p>
        </w:tc>
        <w:tc>
          <w:tcPr>
            <w:tcW w:w="39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好客、好约客、他看客、近7日带看客</w:t>
            </w:r>
          </w:p>
        </w:tc>
        <w:tc>
          <w:tcPr>
            <w:tcW w:w="9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解读客源信息，二次匹配房源，当场联系客户；跟进带看反馈，匹配合适房源</w:t>
            </w:r>
          </w:p>
        </w:tc>
      </w:tr>
      <w:tr>
        <w:trPr/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C类客户</w:t>
            </w:r>
          </w:p>
        </w:tc>
        <w:tc>
          <w:tcPr>
            <w:tcW w:w="39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8分以下客户</w:t>
            </w:r>
          </w:p>
        </w:tc>
        <w:tc>
          <w:tcPr>
            <w:tcW w:w="9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重点执行复聊动作</w:t>
            </w:r>
          </w:p>
        </w:tc>
      </w:tr>
    </w:tbl>
    <w:p>
      <w:pPr>
        <w:pStyle w:val="7eqigv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六、客源核心管理动作</w:t>
      </w:r>
    </w:p>
    <w:p>
      <w:pPr>
        <w:pStyle w:val="axv6o7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1. 客源解读（工具应用）</w:t>
      </w:r>
    </w:p>
    <w:p>
      <w:pPr>
        <w:numPr>
          <w:ilvl w:val="0"/>
          <w:numId w:val="5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使用场景</w:t>
      </w:r>
      <w:r>
        <w:rPr>
          <w:i w:val="false"/>
          <w:strike w:val="false"/>
          <w:color w:val="000000"/>
          <w:u w:val="none"/>
        </w:rPr>
        <w:t>：客户成功委托后、约看前，用于二次匹配、调整沟通重点、识别需求变化</w:t>
      </w:r>
    </w:p>
    <w:p>
      <w:pPr>
        <w:numPr>
          <w:ilvl w:val="0"/>
          <w:numId w:val="5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核心维度</w:t>
      </w:r>
      <w:r>
        <w:rPr>
          <w:i w:val="false"/>
          <w:strike w:val="false"/>
          <w:color w:val="000000"/>
          <w:u w:val="none"/>
        </w:rPr>
        <w:t>：看房概览、楼盘偏好、心理价位、看房时间、线上活跃度、浏览轨迹、商圈/小区偏好等</w:t>
      </w:r>
    </w:p>
    <w:p>
      <w:pPr>
        <w:numPr>
          <w:ilvl w:val="0"/>
          <w:numId w:val="5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价值</w:t>
      </w:r>
      <w:r>
        <w:rPr>
          <w:i w:val="false"/>
          <w:strike w:val="false"/>
          <w:color w:val="000000"/>
          <w:u w:val="none"/>
        </w:rPr>
        <w:t>：精准掌握客户喜好、预算、看房习惯，解决需求模糊问题</w:t>
      </w:r>
    </w:p>
    <w:p>
      <w:pPr>
        <w:pStyle w:val="el9x0o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2. 3日复聊机制</w:t>
      </w:r>
    </w:p>
    <w:p>
      <w:pPr>
        <w:numPr>
          <w:ilvl w:val="0"/>
          <w:numId w:val="6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要求经纪人对客户做</w:t>
      </w:r>
      <w:r>
        <w:rPr>
          <w:b/>
          <w:i w:val="false"/>
          <w:strike w:val="false"/>
          <w:color w:val="000000"/>
          <w:u w:val="none"/>
        </w:rPr>
        <w:t>专属标记</w:t>
      </w:r>
      <w:r>
        <w:rPr>
          <w:i w:val="false"/>
          <w:strike w:val="false"/>
          <w:color w:val="000000"/>
          <w:u w:val="none"/>
        </w:rPr>
        <w:t>，记录沟通日期、预算、户型、意向片区等信息</w:t>
      </w:r>
    </w:p>
    <w:p>
      <w:pPr>
        <w:numPr>
          <w:ilvl w:val="0"/>
          <w:numId w:val="6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按日期倒序复聊，判定意向程度，明确房源推荐逻辑</w:t>
      </w:r>
    </w:p>
    <w:p>
      <w:pPr>
        <w:numPr>
          <w:ilvl w:val="0"/>
          <w:numId w:val="6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识别25个核心客源入口，判断意向强弱，优先推荐片区优房（提前确认房源价格）</w:t>
      </w:r>
    </w:p>
    <w:p>
      <w:pPr>
        <w:numPr>
          <w:ilvl w:val="0"/>
          <w:numId w:val="6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持续复聊：未成交、未拉黑客户需长期维护，避免客源流失</w:t>
      </w:r>
    </w:p>
    <w:p>
      <w:pPr>
        <w:pStyle w:val="et2yai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3. 他看客管理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执行</w:t>
      </w:r>
      <w:r>
        <w:rPr>
          <w:b/>
          <w:i w:val="false"/>
          <w:strike w:val="false"/>
          <w:color w:val="000000"/>
          <w:u w:val="none"/>
        </w:rPr>
        <w:t>下任务+要反馈+出结果</w:t>
      </w:r>
      <w:r>
        <w:rPr>
          <w:i w:val="false"/>
          <w:strike w:val="false"/>
          <w:color w:val="000000"/>
          <w:u w:val="none"/>
        </w:rPr>
        <w:t>闭环，店东/店长全程跟进推进成交。</w:t>
      </w:r>
    </w:p>
    <w:p>
      <w:pPr>
        <w:pStyle w:val="ap01rf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4. IM沟通标准化（25问题答疑）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针对楼层、套内面积、首付税费、房源底价、楼位、房龄等高频问题，标准化应答并顺势挖掘客户深层需求，引导进一步沟通。</w:t>
      </w:r>
    </w:p>
    <w:p>
      <w:pPr>
        <w:pStyle w:val="6s1dfd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七、店长深度参与&amp;业务制衡策略</w:t>
      </w:r>
    </w:p>
    <w:p>
      <w:pPr>
        <w:pStyle w:val="kghdbd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核心工作内容</w:t>
      </w:r>
    </w:p>
    <w:p>
      <w:pPr>
        <w:numPr>
          <w:ilvl w:val="0"/>
          <w:numId w:val="7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深度参与业务</w:t>
      </w:r>
    </w:p>
    <w:p>
      <w:pPr>
        <w:numPr>
          <w:ilvl w:val="0"/>
          <w:numId w:val="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 xml:space="preserve"> 全流程跟进IM聊天、复聊、带看、斡旋，掌握一手客户信息，与经纪人共同制定服务策略。</w:t>
      </w:r>
      <w:r>
        <w:rPr>
          <w:b/>
          <w:i w:val="false"/>
          <w:strike w:val="false"/>
          <w:color w:val="000000"/>
          <w:u w:val="none"/>
        </w:rPr>
        <w:t>业务&amp;数据赋能</w:t>
      </w:r>
    </w:p>
    <w:p>
      <w:pPr>
        <w:numPr>
          <w:ilvl w:val="0"/>
          <w:numId w:val="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 xml:space="preserve"> 整理市场成交量、价格、成交周期等数据，为沟通提供专业支撑。</w:t>
      </w:r>
      <w:r>
        <w:rPr>
          <w:b/>
          <w:i w:val="false"/>
          <w:strike w:val="false"/>
          <w:color w:val="000000"/>
          <w:u w:val="none"/>
        </w:rPr>
        <w:t>重点带教扶持</w:t>
      </w:r>
    </w:p>
    <w:p>
      <w:pPr>
        <w:pStyle w:val="vv6rnr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 xml:space="preserve"> 每月定向扶持1-2位经纪人，突破业绩瓶颈，实现门店制衡式增长，避免资源集中。店东陪看核心要求</w:t>
      </w:r>
    </w:p>
    <w:p>
      <w:pPr>
        <w:pStyle w:val="6y50cd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陪看流程</w:t>
      </w:r>
    </w:p>
    <w:p>
      <w:pPr>
        <w:numPr>
          <w:ilvl w:val="0"/>
          <w:numId w:val="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带看前：协助筹备房源、资料、钥匙；经纪人提前实地踩盘、规划路线</w:t>
      </w:r>
    </w:p>
    <w:p>
      <w:pPr>
        <w:numPr>
          <w:ilvl w:val="0"/>
          <w:numId w:val="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带看中：经纪人主讲解，店东补充信息，分工配合</w:t>
      </w:r>
    </w:p>
    <w:p>
      <w:pPr>
        <w:numPr>
          <w:ilvl w:val="0"/>
          <w:numId w:val="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带看后：回店复盘，优化沟通与匹配策略</w:t>
      </w:r>
    </w:p>
    <w:p>
      <w:pPr>
        <w:pStyle w:val="qw27xo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陪看目的：聊需求→圈需求→锁范围</w:t>
      </w:r>
    </w:p>
    <w:p>
      <w:pPr>
        <w:numPr>
          <w:ilvl w:val="0"/>
          <w:numId w:val="9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聊解需求</w:t>
      </w:r>
      <w:r>
        <w:rPr>
          <w:i w:val="false"/>
          <w:strike w:val="false"/>
          <w:color w:val="000000"/>
          <w:u w:val="none"/>
        </w:rPr>
        <w:t>：挖掘客户家庭成员、工作、居住、核心诉求、决策因素</w:t>
      </w:r>
    </w:p>
    <w:p>
      <w:pPr>
        <w:numPr>
          <w:ilvl w:val="0"/>
          <w:numId w:val="9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圈定需求</w:t>
      </w:r>
      <w:r>
        <w:rPr>
          <w:i w:val="false"/>
          <w:strike w:val="false"/>
          <w:color w:val="000000"/>
          <w:u w:val="none"/>
        </w:rPr>
        <w:t>：锁定位置、预算、户型/面积/楼层、学区/装修等核心条件</w:t>
      </w:r>
    </w:p>
    <w:p>
      <w:pPr>
        <w:numPr>
          <w:ilvl w:val="0"/>
          <w:numId w:val="9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锁定范围</w:t>
      </w:r>
      <w:r>
        <w:rPr>
          <w:i w:val="false"/>
          <w:strike w:val="false"/>
          <w:color w:val="000000"/>
          <w:u w:val="none"/>
        </w:rPr>
        <w:t>：结合现居地、工作地、学区、看房轨迹，缩小选房范围</w:t>
      </w:r>
    </w:p>
    <w:p>
      <w:pPr>
        <w:pStyle w:val="flwz9h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经纪人带看提升要点</w:t>
      </w:r>
    </w:p>
    <w:p>
      <w:pPr>
        <w:numPr>
          <w:ilvl w:val="0"/>
          <w:numId w:val="10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优化沟通：多提问、少单向输出，挖掘深层需求</w:t>
      </w:r>
    </w:p>
    <w:p>
      <w:pPr>
        <w:numPr>
          <w:ilvl w:val="0"/>
          <w:numId w:val="10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房源储备：熟悉周边房源，快速提供替代方案</w:t>
      </w:r>
    </w:p>
    <w:p>
      <w:pPr>
        <w:numPr>
          <w:ilvl w:val="0"/>
          <w:numId w:val="10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专业自信：大胆给出专业建议，助力客户决策</w:t>
      </w:r>
    </w:p>
    <w:p>
      <w:pPr>
        <w:numPr>
          <w:ilvl w:val="0"/>
          <w:numId w:val="10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珍惜机会：客户有空即安排带看，提升粘性</w:t>
      </w:r>
    </w:p>
    <w:p>
      <w:pPr>
        <w:pStyle w:val="95fcq5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八、客源管理总纲领：找→拆→追</w:t>
      </w:r>
    </w:p>
    <w:p>
      <w:pPr>
        <w:numPr>
          <w:ilvl w:val="0"/>
          <w:numId w:val="11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找</w:t>
      </w:r>
      <w:r>
        <w:rPr>
          <w:i w:val="false"/>
          <w:strike w:val="false"/>
          <w:color w:val="000000"/>
          <w:u w:val="none"/>
        </w:rPr>
        <w:t>：找到目标达成的核心路径</w:t>
      </w:r>
    </w:p>
    <w:p>
      <w:pPr>
        <w:numPr>
          <w:ilvl w:val="0"/>
          <w:numId w:val="11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拆</w:t>
      </w:r>
      <w:r>
        <w:rPr>
          <w:i w:val="false"/>
          <w:strike w:val="false"/>
          <w:color w:val="000000"/>
          <w:u w:val="none"/>
        </w:rPr>
        <w:t>：拆解过程指标，量化执行动作</w:t>
      </w:r>
    </w:p>
    <w:p>
      <w:pPr>
        <w:numPr>
          <w:ilvl w:val="0"/>
          <w:numId w:val="11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追</w:t>
      </w:r>
      <w:r>
        <w:rPr>
          <w:i w:val="false"/>
          <w:strike w:val="false"/>
          <w:color w:val="000000"/>
          <w:u w:val="none"/>
        </w:rPr>
        <w:t>：持续追踪客源跟进行为，闭环落地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要不要我把这份文档再精简成</w:t>
      </w:r>
      <w:r>
        <w:rPr>
          <w:b/>
          <w:i w:val="false"/>
          <w:strike w:val="false"/>
          <w:color w:val="000000"/>
          <w:u w:val="none"/>
        </w:rPr>
        <w:t>可直接打印的门店执行手册</w:t>
      </w:r>
      <w:r>
        <w:rPr>
          <w:i w:val="false"/>
          <w:strike w:val="false"/>
          <w:color w:val="000000"/>
          <w:u w:val="none"/>
        </w:rPr>
        <w:t>版？</w:t>
      </w: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2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3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4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5">
    <w:lvl w:ilvl="0">
      <w:start w:val="1"/>
      <w:numFmt w:val="chineseCountingThousand"/>
      <w:lvlText w:val="%1、"/>
      <w:lvlJc w:val="left"/>
      <w:pPr>
        <w:ind w:left="462" w:hanging="462"/>
      </w:pPr>
      <w:rPr>
        <w:rFonts w:hint="default" w:ascii="" w:hAnsi="" w:cs=""/>
      </w:rPr>
    </w:lvl>
    <w:lvl w:ilvl="1">
      <w:start w:val="1"/>
      <w:numFmt w:val="decimal"/>
      <w:lvlText w:val="%2、"/>
      <w:lvlJc w:val="left"/>
      <w:pPr>
        <w:ind w:left="77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4">
      <w:start w:val="1"/>
      <w:numFmt w:val="decimal"/>
      <w:lvlText w:val="%5、"/>
      <w:lvlJc w:val="left"/>
      <w:pPr>
        <w:ind w:left="2096" w:hanging="336"/>
      </w:pPr>
    </w:lvl>
  </w:abstractNum>
  <w:abstractNum w:abstractNumId="6"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7"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6">
      <w:start w:val="1"/>
      <w:numFmt w:val="decimal"/>
      <w:lvlText w:val="%7."/>
      <w:pPr>
        <w:ind w:leftChars="1200" w:hanging="0"/>
      </w:pPr>
    </w:lvl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</w:abstractNum>
  <w:abstractNum w:abstractNumId="8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9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0"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0">
      <w:start w:val="1"/>
      <w:numFmt w:val="decimal"/>
      <w:lvlText w:val="%1."/>
      <w:pPr>
        <w:ind/>
      </w:pPr>
      <w:rPr/>
    </w:lvl>
    <w:lvl w:ilvl="7">
      <w:start w:val="1"/>
      <w:numFmt w:val="lowerLetter"/>
      <w:lvlText w:val="%8."/>
      <w:pPr>
        <w:ind w:leftChars="1400" w:hanging="336"/>
      </w:pPr>
    </w:lvl>
    <w:lvl w:ilvl="3">
      <w:start w:val="1"/>
      <w:numFmt w:val="decimal"/>
      <w:lvlText w:val="%4."/>
      <w:pPr>
        <w:ind w:leftChars="600" w:hanging="0"/>
      </w:pPr>
    </w:lvl>
    <w:lvl w:ilvl="1">
      <w:start w:val="1"/>
      <w:numFmt w:val="lowerLetter"/>
      <w:lvlText w:val="%2."/>
      <w:pPr>
        <w:ind w:leftChars="200" w:hanging="336"/>
      </w:pPr>
    </w:lvl>
    <w:lvl w:ilvl="6">
      <w:start w:val="1"/>
      <w:numFmt w:val="decimal"/>
      <w:lvlText w:val="%7."/>
      <w:pPr>
        <w:ind w:leftChars="1200" w:hanging="0"/>
      </w:pPr>
    </w:lvl>
  </w:abstractNum>
  <w:abstractNum w:abstractNumId="11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num w:numId="2">
    <w:abstractNumId w:val="9"/>
  </w:num>
  <w:num w:numId="8">
    <w:abstractNumId w:val="3"/>
  </w:num>
  <w:num w:numId="11">
    <w:abstractNumId w:val="10"/>
  </w:num>
  <w:num w:numId="9">
    <w:abstractNumId w:val="1"/>
  </w:num>
  <w:num w:numId="10">
    <w:abstractNumId w:val="8"/>
  </w:num>
  <w:num w:numId="5">
    <w:abstractNumId w:val="4"/>
  </w:num>
  <w:num w:numId="3">
    <w:abstractNumId w:val="2"/>
  </w:num>
  <w:num w:numId="6">
    <w:abstractNumId w:val="11"/>
  </w:num>
  <w:num w:numId="7">
    <w:abstractNumId w:val="6"/>
  </w:num>
  <w:num w:numId="1">
    <w:abstractNumId w:val="5"/>
  </w:num>
  <w:num w:numId="4">
    <w:abstractNumId w:val="7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ablt93" w:default="true">
    <w:name w:val="Normal"/>
    <w:pPr>
      <w:widowControl w:val="false"/>
      <w:jc w:val="left"/>
    </w:pPr>
  </w:style>
  <w:style w:type="paragraph" w:styleId="7eqigv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aj3m0z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et2yai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l13lqw">
    <w:name w:val="Table Grid"/>
    <w:basedOn w:val="aj3m0z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xvr5ng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95fcq5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5ynw46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flwz9h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l7pux3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vv6rnr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soiz1o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sx06da">
    <w:name w:val="Table Grid"/>
    <w:basedOn w:val="v2g2vi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384stn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gfc5zh">
    <w:name w:val="Table Grid"/>
    <w:basedOn w:val="soiz1o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omhm99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qw27xo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6s1dfd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axv6o7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v2g2vi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139kdj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ap01rf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el9x0o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mvjiq2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96r82m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kghdbd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m8waz7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464ouk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gsuql1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6y50cd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 /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2026-03-13T10:11:37Z</dcterms:created>
  <dcterms:modified xsi:type="dcterms:W3CDTF">2026-03-13T10:11:37Z</dcterms:modified>
</cp:coreProperties>
</file>