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900"/>
        <w:jc w:val="center"/>
      </w:pPr>
      <w:r>
        <w:t>模式识别课程大作业</w:t>
      </w:r>
    </w:p>
    <w:p>
      <w:pPr>
        <w:pStyle w:val="Title"/>
        <w:spacing w:before="1300" w:after="1100"/>
        <w:jc w:val="center"/>
      </w:pPr>
      <w:r>
        <w:t>基于 YOLO World 的</w:t>
        <w:br/>
        <w:t>开放词汇目标检测与可视化分析系统</w:t>
      </w:r>
    </w:p>
    <w:p>
      <w:pPr>
        <w:pStyle w:val="Subtitle"/>
        <w:jc w:val="center"/>
      </w:pPr>
      <w:r>
        <w:t>课程报告</w:t>
      </w:r>
    </w:p>
    <w:p>
      <w:pPr>
        <w:spacing w:before="2500"/>
        <w:ind w:firstLine="0"/>
        <w:jc w:val="center"/>
      </w:pPr>
      <w:r>
        <w:t>2026 年 10 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针对固定类别检测系统在交互使用中需要更换检测目标的问题，本文基于预训练 YOLO-World v2 与 PyQt6，实现了以英文类别短语驱动的单图目标检测与可视化分析系统。系统完成提示词解析、模型推理、后台线程调度、检测框绘制、结果明细展示和图片导出，支持阈值调整、类别高亮、缩放平移及权重自动获取。用户可以在同一界面中更换类别词汇并观察检测结果。</w:t>
      </w:r>
    </w:p>
    <w:p>
      <w:r>
        <w:t>实验从 COCO val2017 按六个目标类别分组固定抽取 24 张图片，完成 120 组检测与 30 次预热后的重复耗时测量。在置信度阈值 0.25、同类别 IoU 不低于 0.50 的匹配规则下，Precision、Recall 和 F1 分别为 55.46%、50.77% 和 53.01%；阈值升至 0.75 后，Precision 升至 86.96%，Recall 降至 15.38%。统一描述模板的表现低于标准类别词。系统回归测试共 62 项通过，实验展示了类别输入、检测结果和交互分析之间的完整工作流程。</w:t>
      </w:r>
    </w:p>
    <w:p>
      <w:pPr>
        <w:ind w:firstLine="0"/>
      </w:pPr>
      <w:r>
        <w:t>关键词  开放词汇目标检测  YOLO-World  PyQt6  提示词  可视化分析</w:t>
      </w:r>
    </w:p>
    <w:p>
      <w:pPr>
        <w:pStyle w:val="Heading1"/>
      </w:pPr>
      <w:r>
        <w:t>1 引言</w:t>
      </w:r>
    </w:p>
    <w:p>
      <w:r>
        <w:t>目标检测同时回答图像中“有什么”和“在哪里”两个问题，是模式识别在场景理解中的典型应用。传统检测系统通常围绕训练时确定的类别运行。对实际使用者而言，检测需求却会随任务改变：同一张街景图片可能需要查看车辆、行人或交通设施。将检测目标转化为可编辑的文本输入，可以使检测过程更贴近这一使用方式。</w:t>
      </w:r>
    </w:p>
    <w:p>
      <w:r>
        <w:t>视觉语言预训练将图像内容与文本描述建立联系，为类别可变的检测提供了基础。YOLO-World 将文本信息引入 YOLO 检测框架，使用户词汇能够参与推理[10]。本项目采用其预训练权重，围绕“输入目标—执行检测—查看依据—保存结果”设计桌面应用，并用统一实验流程分析阈值与短语形式对输出的影响。</w:t>
      </w:r>
    </w:p>
    <w:p>
      <w:r>
        <w:t>项目工作主要包括三个部分：一是建立自由英文类别输入到模型类别设置的处理流程；二是实现后台推理与可交互结果展示，处理图片方向、中文路径和保存过程中的状态协调；三是组织带人工标注的多场景实验，统计检测指标、目标尺度表现及运行耗时。系统面向单张图片的检测分析，模型能力与交互功能分别通过实验和软件测试评价。</w:t>
      </w:r>
    </w:p>
    <w:p>
      <w:r>
        <w:br w:type="page"/>
      </w:r>
    </w:p>
    <w:p>
      <w:pPr>
        <w:pStyle w:val="Heading1"/>
      </w:pPr>
      <w:r>
        <w:t>2 相关工作</w:t>
      </w:r>
    </w:p>
    <w:p>
      <w:pPr>
        <w:pStyle w:val="Heading2"/>
      </w:pPr>
      <w:r>
        <w:t>2.1 目标检测方法</w:t>
      </w:r>
    </w:p>
    <w:p>
      <w:r>
        <w:t>深度学习目标检测形成了多种实现路线。Faster R-CNN 通过区域建议网络与检测网络共享卷积特征，将候选区域生成与目标识别结合起来[2]。YOLO 将目标检测组织为统一的预测过程，直接输出边界框与类别信息[1]。SSD 在不同尺度特征图上使用默认框进行预测，以覆盖不同尺寸的目标[3]。这些方法奠定了检测系统中图像特征提取、位置回归与类别判断的常用处理方式。</w:t>
      </w:r>
    </w:p>
    <w:p>
      <w:r>
        <w:t>DETR 将检测表示为集合预测，利用 Transformer 与二分匹配建立预测目标和真实目标的对应关系[4]。不同结构在候选区域、特征交互和后处理方式上各有特点。对本项目而言，选择检测组件还需要考虑文本类别接入、Python 调用方式和桌面部署流程。</w:t>
      </w:r>
    </w:p>
    <w:p>
      <w:pPr>
        <w:pStyle w:val="Heading2"/>
      </w:pPr>
      <w:r>
        <w:t>2.2 视觉语言与开放词汇检测</w:t>
      </w:r>
    </w:p>
    <w:p>
      <w:r>
        <w:t>CLIP 通过图像与文本配对学习共享语义表示，使用文本描述组织视觉概念[5]。ViLD 将视觉语言模型中的知识蒸馏到检测器，使候选区域表示与图文语义表示对齐[6]。OWL-ViT 则将图文预训练的视觉 Transformer 适配到文本条件目标检测[7]。这些工作说明，类别名称可以作为模型输入参与视觉目标定位。</w:t>
      </w:r>
    </w:p>
    <w:p>
      <w:r>
        <w:t>GLIP 联合目标检测和短语定位任务开展预训练，把语言与目标级视觉表征联系起来[8]。Grounding DINO 在特征增强、语言引导的查询选择及跨模态解码阶段融合图文信息，支持类别名称和指代表达输入[9]。相较于固定类别识别，开放词汇检测更关注文本表征如何与图像区域建立对应关系。</w:t>
      </w:r>
    </w:p>
    <w:p>
      <w:pPr>
        <w:pStyle w:val="Heading2"/>
      </w:pPr>
      <w:r>
        <w:t>2.3 YOLO World 与项目实现</w:t>
      </w:r>
    </w:p>
    <w:p>
      <w:r>
        <w:t>YOLO-World 在 YOLO 框架中引入视觉语言交互，提出可重参数化的视觉语言路径聚合网络 RepVL-PAN，并通过区域与文本之间的对比学习组织预训练[10]。本项目通过 Ultralytics 的 YOLOWorld 接口加载 YOLOv8s-Worldv2，使用 set_classes 设置用户词汇，再由 predict 输出检测结果[13]。</w:t>
      </w:r>
    </w:p>
    <w:p>
      <w:r>
        <w:t>本文在上述模型能力之上完成交互系统设计与工程实现：将自由输入规范化为模型可调用的类别列表，通过 Qt 后台线程执行检测，再将结构化结果用于绘图、明细展示和交互高亮。实验关注这套实现中的参数响应、提示词敏感性和检测表现，形成模型调用、界面操作与结果分析相衔接的课程作品。</w:t>
      </w:r>
    </w:p>
    <w:p>
      <w:r>
        <w:br w:type="page"/>
      </w:r>
    </w:p>
    <w:p>
      <w:pPr>
        <w:pStyle w:val="Heading1"/>
      </w:pPr>
      <w:r>
        <w:t>3 系统总体设计</w:t>
      </w:r>
    </w:p>
    <w:p>
      <w:pPr>
        <w:pStyle w:val="Heading2"/>
      </w:pPr>
      <w:r>
        <w:t>3.1 输入输出与处理流程</w:t>
      </w:r>
    </w:p>
    <w:p>
      <w:r>
        <w:t>系统输入包括一张本地图片、英文类别短语列表、置信度阈值及计算设备。输出为带有类别和分数标签的检测图片，以及每个目标的类别名称、模型分数和边界框坐标。界面支持 JPG、JPEG、PNG、BMP 文件，导出采用 PNG 或 JPEG 格式。</w:t>
      </w:r>
    </w:p>
    <w:p>
      <w:pPr>
        <w:keepNext/>
        <w:spacing w:line="240" w:lineRule="auto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1" name="Picture 1" descr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系统处理流程</w:t>
      </w:r>
    </w:p>
    <w:p>
      <w:r>
        <w:t>主窗口采集参数后先进行提示词解析与输入校验，再把检测任务交给后台线程。线程完成权重准备、设备选择、文本类别设置和模型预测，将检测结果转为统一结构。绘图模块按原图尺寸绘制边界框，主线程接收结果并更新预览、类别标签和明细表。保存操作读取完整分辨率结果图。</w:t>
      </w:r>
    </w:p>
    <w:p>
      <w:pPr>
        <w:pStyle w:val="Heading2"/>
      </w:pPr>
      <w:r>
        <w:t>3.2 模块划分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rPr>
          <w:tblHeader/>
          <w:cantSplit/>
        </w:trPr>
        <w:tc>
          <w:tcPr>
            <w:tcW w:type="dxa" w:w="3402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6009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class_parser.py</w:t>
            </w:r>
          </w:p>
        </w:tc>
        <w:tc>
          <w:tcPr>
            <w:tcW w:type="dxa" w:w="60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分隔短语、规范空白、类别去重及输入校验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detector.py 与 device.py</w:t>
            </w:r>
          </w:p>
        </w:tc>
        <w:tc>
          <w:tcPr>
            <w:tcW w:type="dxa" w:w="6009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加载模型、设置词汇、执行预测及选择设备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model_assets.py</w:t>
            </w:r>
          </w:p>
        </w:tc>
        <w:tc>
          <w:tcPr>
            <w:tcW w:type="dxa" w:w="60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固定地址获取权重、大小与 SHA-256 校验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image_io.py 与 visualizer.py</w:t>
            </w:r>
          </w:p>
        </w:tc>
        <w:tc>
          <w:tcPr>
            <w:tcW w:type="dxa" w:w="6009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图片读写、EXIF 方向处理及检测框绘制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gui/main_window.py 与 worker.py</w:t>
            </w:r>
          </w:p>
        </w:tc>
        <w:tc>
          <w:tcPr>
            <w:tcW w:type="dxa" w:w="60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界面交互、任务调度、线程信号及结果展示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表 1 系统模块及职责</w:t>
      </w:r>
    </w:p>
    <w:p>
      <w:r>
        <w:t>各模块通过类别列表、检测记录和图像对象传递数据。检测记录统一包含 class_name、confidence 和 bbox，绘图与界面均使用这一结构。界面样式集中在 gui/style.py，实验工具集中在 scripts，自动回归测试集中在 tests。</w:t>
      </w:r>
    </w:p>
    <w:p>
      <w:r>
        <w:br w:type="page"/>
      </w:r>
    </w:p>
    <w:p>
      <w:pPr>
        <w:pStyle w:val="Heading1"/>
      </w:pPr>
      <w:r>
        <w:t>4 关键实现</w:t>
      </w:r>
    </w:p>
    <w:p>
      <w:pPr>
        <w:pStyle w:val="Heading2"/>
      </w:pPr>
      <w:r>
        <w:t>4.1 自由类别解析与模型调用</w:t>
      </w:r>
    </w:p>
    <w:p>
      <w:r>
        <w:t>类别输入使用逗号分隔，同时兼容中文逗号。解析器保留 traffic light 等多词短语，清理连续空白和空项，按忽略大小写的方式去重并保留首次写法。输入为空或包含中文汉字时，界面给出明确提示。解析后的字符串列表直接传给 set_classes。</w:t>
      </w:r>
    </w:p>
    <w:p>
      <w:r>
        <w:t>检测器加载一次权重后保存最近使用的类别元组；类别变化时更新文本设置，仅调整阈值时复用现有设置。预测结果逐框转换为类别、浮点分数和 xyxy 坐标，供后续模块使用。这样可以将模型推理与界面展示分开维护。</w:t>
      </w:r>
    </w:p>
    <w:p>
      <w:pPr>
        <w:keepNext/>
        <w:spacing w:line="240" w:lineRule="auto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78696"/>
            <wp:docPr id="2" name="Picture 2" descr="gu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系统实际界面及 COCO 图片检测结果</w:t>
      </w:r>
    </w:p>
    <w:p>
      <w:pPr>
        <w:pStyle w:val="Heading2"/>
      </w:pPr>
      <w:r>
        <w:t>4.2 后台执行与交互状态</w:t>
      </w:r>
    </w:p>
    <w:p>
      <w:r>
        <w:t>界面使用 QThread 执行检测，通过信号返回状态、结果与错误信息[14]。检测期间锁定图片与参数修改；保存对话框打开时暂停自动检测，并使用进入对话框前的结果快照。用户点击类别或明细行时，界面高亮对应目标；缩放、平移与高亮作用于预览，导出图保持完整分辨率。</w:t>
      </w:r>
    </w:p>
    <w:p>
      <w:pPr>
        <w:pStyle w:val="Heading2"/>
      </w:pPr>
      <w:r>
        <w:t>4.3 图片与运行资源管理</w:t>
      </w:r>
    </w:p>
    <w:p>
      <w:r>
        <w:t>图片读写采用字节解码与编码处理中文路径，并统一处理 EXIF 方向。权重下载使用固定版本、文件大小和 SHA-256 校验，成功后原子替换本地文件。自动设备模式依次检查 MPS、CUDA 与 CPU；加速设备执行失败时显示原因并使用 CPU 重试一次。软件回归测试覆盖输入、缓存、线程、保存及下载流程，共 62 项通过。</w:t>
      </w:r>
    </w:p>
    <w:p>
      <w:r>
        <w:br w:type="page"/>
      </w:r>
    </w:p>
    <w:p>
      <w:pPr>
        <w:pStyle w:val="Heading1"/>
      </w:pPr>
      <w:r>
        <w:t>5 实验设计</w:t>
      </w:r>
    </w:p>
    <w:p>
      <w:pPr>
        <w:pStyle w:val="Heading2"/>
      </w:pPr>
      <w:r>
        <w:t>5.1 数据集与运行环境</w:t>
      </w:r>
    </w:p>
    <w:p>
      <w:r>
        <w:t>实验使用 COCO val2017 的图片与人工实例标注[11]。候选图片按 ID 排序，限定为许可编号 4 的 CC BY 2.0 图片，要求包含分组锚点类别及至少两个该组非 crowd 实例；使用随机种子 20261022，每组抽取四张且组间图片不重复。图片、提示词与负向查询在检测前固定，样本总数为 24 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191"/>
        <w:gridCol w:w="5783"/>
      </w:tblGrid>
      <w:tr>
        <w:trPr>
          <w:tblHeader/>
          <w:cantSplit/>
        </w:trPr>
        <w:tc>
          <w:tcPr>
            <w:tcW w:type="dxa" w:w="2438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/>
                <w:color w:val="000000"/>
                <w:sz w:val="19"/>
              </w:rPr>
              <w:t>类别分组</w:t>
            </w:r>
          </w:p>
        </w:tc>
        <w:tc>
          <w:tcPr>
            <w:tcW w:type="dxa" w:w="1191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图片数</w:t>
            </w:r>
          </w:p>
        </w:tc>
        <w:tc>
          <w:tcPr>
            <w:tcW w:type="dxa" w:w="5783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词汇示例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交通与街景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person、car、traffic light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动物</w:t>
            </w:r>
          </w:p>
        </w:tc>
        <w:tc>
          <w:tcPr>
            <w:tcW w:type="dxa" w:w="1191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783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dog、horse、elephant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室内家具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chair、couch、dining table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电子设备</w:t>
            </w:r>
          </w:p>
        </w:tc>
        <w:tc>
          <w:tcPr>
            <w:tcW w:type="dxa" w:w="1191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783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laptop、keyboard、cell phone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厨房与器具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bowl、oven、refrigerator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食物</w:t>
            </w:r>
          </w:p>
        </w:tc>
        <w:tc>
          <w:tcPr>
            <w:tcW w:type="dxa" w:w="1191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783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apple、orange、cake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表 2 测试图片分组与词汇示例</w:t>
      </w:r>
    </w:p>
    <w:p>
      <w:r>
        <w:t>模型使用 YOLOv8s-Worldv2 固定预训练权重，运行设备为 macOS arm64 平台 CPU。实验记录的版本为 Python 3.11.17、Ultralytics 8.4.177、PyTorch 2.14.1、OpenCV 5.0.0.93；输入尺寸参数为 640，NMS IoU 为 0.70，max_det 为 300。</w:t>
      </w:r>
    </w:p>
    <w:p>
      <w:pPr>
        <w:pStyle w:val="Heading2"/>
      </w:pPr>
      <w:r>
        <w:t>5.2 条件设置与评价指标</w:t>
      </w:r>
    </w:p>
    <w:p>
      <w:r>
        <w:t>每张图片运行五种条件：标准类别词下的 0.25、0.50、0.75 三档阈值；阈值 0.25 下，将每个类别改写为 a photo of a 加类别名的描述模板；另在阈值 0.25 下查询三个在该图全部实例标注中未出现的类别。24 张图片共形成 120 组检测。</w:t>
      </w:r>
    </w:p>
    <w:p>
      <w:r>
        <w:t>评价按各图预设分组词汇进行。预测按分数降序，与同类别、未被匹配的人工框进行最大 IoU 一对一匹配，IoU ≥ 0.50 记为 TP；未匹配输出记为 FP，未匹配人工实例记为 FN。普通实例优先匹配；与同类 crowd 区域的交集占检测框面积比例 ≥ 0.50 的剩余输出予以忽略。</w:t>
      </w:r>
    </w:p>
    <w:p>
      <w:pPr>
        <w:ind w:firstLine="0"/>
        <w:jc w:val="center"/>
      </w:pPr>
      <w:r>
        <w:t>Precision = TP / (TP + FP)     Recall = TP / (TP + FN)</w:t>
        <w:br/>
        <w:t>F1 = 2TP / (2TP + FP + FN)</w:t>
      </w:r>
    </w:p>
    <w:p>
      <w:r>
        <w:t>指标使用总计数的微平均，并以分层 bootstrap 估计区间[12]：六组各有放回抽取四张，重复 2000 次，取 2.5% 和 97.5% 分位数。耗时实验在每组第一张图片上先预热一次，再连续检测五次，共记录 30 个样本。</w:t>
      </w:r>
    </w:p>
    <w:p>
      <w:r>
        <w:br w:type="page"/>
      </w:r>
    </w:p>
    <w:p>
      <w:pPr>
        <w:pStyle w:val="Heading1"/>
      </w:pPr>
      <w:r>
        <w:t>6 实验结果与分析</w:t>
      </w:r>
    </w:p>
    <w:p>
      <w:pPr>
        <w:pStyle w:val="Heading2"/>
      </w:pPr>
      <w:r>
        <w:t>6.1 阈值影响与总体表现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50"/>
        <w:gridCol w:w="850"/>
        <w:gridCol w:w="850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928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/>
                <w:color w:val="000000"/>
                <w:sz w:val="19"/>
              </w:rPr>
              <w:t>条件</w:t>
            </w:r>
          </w:p>
        </w:tc>
        <w:tc>
          <w:tcPr>
            <w:tcW w:type="dxa" w:w="850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TP</w:t>
            </w:r>
          </w:p>
        </w:tc>
        <w:tc>
          <w:tcPr>
            <w:tcW w:type="dxa" w:w="850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FP</w:t>
            </w:r>
          </w:p>
        </w:tc>
        <w:tc>
          <w:tcPr>
            <w:tcW w:type="dxa" w:w="850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FN</w:t>
            </w:r>
          </w:p>
        </w:tc>
        <w:tc>
          <w:tcPr>
            <w:tcW w:type="dxa" w:w="1644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P 百分比</w:t>
            </w:r>
          </w:p>
        </w:tc>
        <w:tc>
          <w:tcPr>
            <w:tcW w:type="dxa" w:w="1644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R 百分比</w:t>
            </w:r>
          </w:p>
        </w:tc>
        <w:tc>
          <w:tcPr>
            <w:tcW w:type="dxa" w:w="1644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F1 百分比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阈值 0.25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66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53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55.46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50.77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53.01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阈值 0.50</w:t>
            </w:r>
          </w:p>
        </w:tc>
        <w:tc>
          <w:tcPr>
            <w:tcW w:type="dxa" w:w="85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85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85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164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64.62</w:t>
            </w:r>
          </w:p>
        </w:tc>
        <w:tc>
          <w:tcPr>
            <w:tcW w:type="dxa" w:w="164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32.31</w:t>
            </w:r>
          </w:p>
        </w:tc>
        <w:tc>
          <w:tcPr>
            <w:tcW w:type="dxa" w:w="164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43.08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阈值 0.75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110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86.96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15.38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26.14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描述词 0.25</w:t>
            </w:r>
          </w:p>
        </w:tc>
        <w:tc>
          <w:tcPr>
            <w:tcW w:type="dxa" w:w="85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51</w:t>
            </w:r>
          </w:p>
        </w:tc>
        <w:tc>
          <w:tcPr>
            <w:tcW w:type="dxa" w:w="85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78</w:t>
            </w:r>
          </w:p>
        </w:tc>
        <w:tc>
          <w:tcPr>
            <w:tcW w:type="dxa" w:w="850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79</w:t>
            </w:r>
          </w:p>
        </w:tc>
        <w:tc>
          <w:tcPr>
            <w:tcW w:type="dxa" w:w="164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39.53</w:t>
            </w:r>
          </w:p>
        </w:tc>
        <w:tc>
          <w:tcPr>
            <w:tcW w:type="dxa" w:w="164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39.23</w:t>
            </w:r>
          </w:p>
        </w:tc>
        <w:tc>
          <w:tcPr>
            <w:tcW w:type="dxa" w:w="1644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39.38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表 3 各条件下的微平均检测结果 共 130 个非 crowd 目标</w:t>
      </w:r>
    </w:p>
    <w:p>
      <w:r>
        <w:t>默认阈值 0.25 下，66 个预测与人工框匹配，53 个输出未匹配，64 个目标未匹配，另有一个 crowd 区域输出被忽略。对应 Precision 为 55.46%，Recall 为 50.77%。按图片重采样得到的 95% 区间分别为 40.29%—70.59% 和 42.48%—61.35%，反映当前分组中不同图片的表现差异。</w:t>
      </w:r>
    </w:p>
    <w:p>
      <w:pPr>
        <w:keepNext/>
        <w:spacing w:line="240" w:lineRule="auto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86000"/>
            <wp:docPr id="3" name="Picture 3" descr="quantitative_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ative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阈值变化及各类别分组的检测指标</w:t>
      </w:r>
    </w:p>
    <w:p>
      <w:r>
        <w:t>阈值升至 0.50 后，FP 从 53 降至 23，但 TP 同时从 66 降至 42，Recall 降为 32.31%。继续升至 0.75，Precision 达到 86.96%，Recall 为 15.38%。高阈值保留分数较高的输出，也使更多人工标注目标在输出中缺失。三档阈值中，0.25 的 F1 为 53.01%，高于另外两档，适合作为本系统观察较完整检测结果的默认设置。</w:t>
      </w:r>
    </w:p>
    <w:p>
      <w:r>
        <w:t>固定阈值实验显示，Precision 的提高需要与 Recall 的变化一起判断。对于结果核查，较高阈值可以减少待检查框；对于寻找更多候选目标，较低阈值保留的信息更多。界面因此将阈值作为直接可调参数，并同时显示每个输出的模型分数。</w:t>
      </w:r>
    </w:p>
    <w:p>
      <w:r>
        <w:br w:type="page"/>
      </w:r>
    </w:p>
    <w:p>
      <w:pPr>
        <w:pStyle w:val="Heading2"/>
      </w:pPr>
      <w:r>
        <w:t>6.2 场景与目标尺度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907"/>
        <w:gridCol w:w="907"/>
        <w:gridCol w:w="907"/>
        <w:gridCol w:w="1757"/>
        <w:gridCol w:w="1757"/>
      </w:tblGrid>
      <w:tr>
        <w:trPr>
          <w:tblHeader/>
          <w:cantSplit/>
        </w:trPr>
        <w:tc>
          <w:tcPr>
            <w:tcW w:type="dxa" w:w="2268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/>
                <w:color w:val="000000"/>
                <w:sz w:val="19"/>
              </w:rPr>
              <w:t>分组</w:t>
            </w:r>
          </w:p>
        </w:tc>
        <w:tc>
          <w:tcPr>
            <w:tcW w:type="dxa" w:w="907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GT</w:t>
            </w:r>
          </w:p>
        </w:tc>
        <w:tc>
          <w:tcPr>
            <w:tcW w:type="dxa" w:w="907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TP</w:t>
            </w:r>
          </w:p>
        </w:tc>
        <w:tc>
          <w:tcPr>
            <w:tcW w:type="dxa" w:w="907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FP</w:t>
            </w:r>
          </w:p>
        </w:tc>
        <w:tc>
          <w:tcPr>
            <w:tcW w:type="dxa" w:w="907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FN</w:t>
            </w:r>
          </w:p>
        </w:tc>
        <w:tc>
          <w:tcPr>
            <w:tcW w:type="dxa" w:w="1757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P 百分比</w:t>
            </w:r>
          </w:p>
        </w:tc>
        <w:tc>
          <w:tcPr>
            <w:tcW w:type="dxa" w:w="1757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R 百分比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交通与街景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77.78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52.50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动物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75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82.61</w:t>
            </w:r>
          </w:p>
        </w:tc>
        <w:tc>
          <w:tcPr>
            <w:tcW w:type="dxa" w:w="175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67.86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室内家具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61.54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61.54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电子设备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75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58.33</w:t>
            </w:r>
          </w:p>
        </w:tc>
        <w:tc>
          <w:tcPr>
            <w:tcW w:type="dxa" w:w="175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53.85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厨房与器具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50.00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食物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90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75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4.17</w:t>
            </w:r>
          </w:p>
        </w:tc>
        <w:tc>
          <w:tcPr>
            <w:tcW w:type="dxa" w:w="175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6.25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表 4 默认阈值下的各分组表现</w:t>
      </w:r>
    </w:p>
    <w:p>
      <w:r>
        <w:t>动物组的 Precision 为 82.61%、Recall 为 67.86%，交通组为 77.78% 和 52.50%。电子设备与厨房图片中，输出包含类别混淆或定位偏差。食物组的统计明显偏低，其中水果图片既包含模糊背景目标，也存在人工区域标注与逐个目标输出的粒度差异，该案例在下一节展开。每组四张图片的类别、目标数量和成像条件共同构成了组间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061"/>
        <w:gridCol w:w="1191"/>
        <w:gridCol w:w="1191"/>
        <w:gridCol w:w="2211"/>
      </w:tblGrid>
      <w:tr>
        <w:trPr>
          <w:tblHeader/>
          <w:cantSplit/>
        </w:trPr>
        <w:tc>
          <w:tcPr>
            <w:tcW w:type="dxa" w:w="1757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/>
                <w:color w:val="000000"/>
                <w:sz w:val="19"/>
              </w:rPr>
              <w:t>目标尺度</w:t>
            </w:r>
          </w:p>
        </w:tc>
        <w:tc>
          <w:tcPr>
            <w:tcW w:type="dxa" w:w="3061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面积条件</w:t>
            </w:r>
          </w:p>
        </w:tc>
        <w:tc>
          <w:tcPr>
            <w:tcW w:type="dxa" w:w="1191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GT</w:t>
            </w:r>
          </w:p>
        </w:tc>
        <w:tc>
          <w:tcPr>
            <w:tcW w:type="dxa" w:w="1191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TP</w:t>
            </w:r>
          </w:p>
        </w:tc>
        <w:tc>
          <w:tcPr>
            <w:tcW w:type="dxa" w:w="2211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Recall 百分比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小目标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area &lt; 32²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63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39.68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中目标</w:t>
            </w:r>
          </w:p>
        </w:tc>
        <w:tc>
          <w:tcPr>
            <w:tcW w:type="dxa" w:w="3061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32² ≤ area &lt; 96²</w:t>
            </w:r>
          </w:p>
        </w:tc>
        <w:tc>
          <w:tcPr>
            <w:tcW w:type="dxa" w:w="1191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1191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211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57.14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大目标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area ≥ 96²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65.62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表 5 按 COCO 分割区域面积划分的目标尺度结果</w:t>
      </w:r>
    </w:p>
    <w:p>
      <w:r>
        <w:t>小目标共 63 个，其中 25 个匹配，Recall 为 39.68%；大目标的 Recall 为 65.62%。远处行人、交通设施与厨房小器具在图像中占据的像素较少，密集背景使定位和类别判断更困难。尺度统计保留各图的原始场景与类别条件。</w:t>
      </w:r>
    </w:p>
    <w:p>
      <w:pPr>
        <w:pStyle w:val="Heading2"/>
      </w:pPr>
      <w:r>
        <w:t>6.3 描述性提示词与负向查询</w:t>
      </w:r>
    </w:p>
    <w:p>
      <w:r>
        <w:t>把标准类别词统一改写为 a photo of a 加类别名后，TP 从 66 降至 51，FP 从 53 增至 78，Precision 与 Recall 分别变为 39.53% 和 39.23%。在这批图片和统一模板下，短类别词更有效。系统保留直接输入类别短语的交互方式，用户可更换措辞并查看实际检测结果。</w:t>
      </w:r>
    </w:p>
    <w:p>
      <w:r>
        <w:t>负向组每张图片查询三个在标注中未出现的类别。24 张图片中有四张产生输出，共五个框，出现输出的图片比例为 16.67%。看图复核发现，列车区域被输出为 bus，沙发区域被输出为 bed，笔记本电脑区域被输出为 book，甜点盘附近的大范围区域被输出为 vase 和 wine glass。这些案例说明，即使查询词未出现在人工标注中，视觉近似仍会引起模型响应。</w:t>
      </w:r>
    </w:p>
    <w:p>
      <w:r>
        <w:br w:type="page"/>
      </w:r>
    </w:p>
    <w:p>
      <w:pPr>
        <w:pStyle w:val="Heading2"/>
      </w:pPr>
      <w:r>
        <w:t>6.4 标注粒度与失败案例</w:t>
      </w:r>
    </w:p>
    <w:p>
      <w:pPr>
        <w:keepNext/>
        <w:spacing w:line="240" w:lineRule="auto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87386"/>
            <wp:docPr id="4" name="Picture 4" descr="apple_granula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e_granula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7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水果图片局部的人工标注与模型输出对比 图片 ID 406570</w:t>
      </w:r>
    </w:p>
    <w:p>
      <w:r>
        <w:t>该图的 apple 标注使用一个大框覆盖前景多枚苹果，iscrowd 为 0；模型则输出多个单独苹果框。这些小框与大参考框的 IoU 低于 0.50，因而计入 FP。同时，背景 orange 目标存在未匹配实例。该图按固定规则得到 TP=0、FP=20、FN=7。它表明，检测评价同时受到对象类别、定位尺度和参考标注粒度的影响，食物组的微平均因此需要结合图像内容解读。</w:t>
      </w:r>
    </w:p>
    <w:p>
      <w:pPr>
        <w:pStyle w:val="Heading2"/>
      </w:pPr>
      <w:r>
        <w:t>6.5 运行耗时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rPr>
          <w:tblHeader/>
          <w:cantSplit/>
        </w:trPr>
        <w:tc>
          <w:tcPr>
            <w:tcW w:type="dxa" w:w="3969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/>
                <w:color w:val="000000"/>
                <w:sz w:val="19"/>
              </w:rPr>
              <w:t>测量项</w:t>
            </w:r>
          </w:p>
        </w:tc>
        <w:tc>
          <w:tcPr>
            <w:tcW w:type="dxa" w:w="5443"/>
            <w:vAlign w:val="center"/>
            <w:shd w:fill="E8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/>
                <w:color w:val="000000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模型构造</w:t>
            </w:r>
          </w:p>
        </w:tc>
        <w:tc>
          <w:tcPr>
            <w:tcW w:type="dxa" w:w="54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0.023 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首次 detect 调用</w:t>
            </w:r>
          </w:p>
        </w:tc>
        <w:tc>
          <w:tcPr>
            <w:tcW w:type="dxa" w:w="5443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2.252 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预热后均值与标准差</w:t>
            </w:r>
          </w:p>
        </w:tc>
        <w:tc>
          <w:tcPr>
            <w:tcW w:type="dxa" w:w="54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0.0575 s ± 0.0051 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left"/>
            </w:pPr>
            <w:r>
              <w:rPr>
                <w:b w:val="0"/>
                <w:color w:val="000000"/>
                <w:sz w:val="19"/>
              </w:rPr>
              <w:t>预热后中位数与 P95</w:t>
            </w:r>
          </w:p>
        </w:tc>
        <w:tc>
          <w:tcPr>
            <w:tcW w:type="dxa" w:w="5443"/>
            <w:vAlign w:val="center"/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80" w:lineRule="exact"/>
              <w:ind w:firstLine="0"/>
              <w:jc w:val="center"/>
            </w:pPr>
            <w:r>
              <w:rPr>
                <w:b w:val="0"/>
                <w:color w:val="000000"/>
                <w:sz w:val="19"/>
              </w:rPr>
              <w:t>0.0580 s 与 0.0656 s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表 6 本机 CPU 检测耗时 预热后共 30 次测量</w:t>
      </w:r>
    </w:p>
    <w:p>
      <w:r>
        <w:t>计时覆盖 detect 函数内的图片读取、预处理、预测、后处理与结果整理。每组先预热并复用类别设置，绘图、保存及界面刷新在计时区间之外。首次调用包含文本编码与推理组件初始化，耗时高于后续重复检测。</w:t>
      </w:r>
    </w:p>
    <w:p>
      <w:pPr>
        <w:pStyle w:val="Heading1"/>
      </w:pPr>
      <w:r>
        <w:t>7 总结</w:t>
      </w:r>
    </w:p>
    <w:p>
      <w:r>
        <w:t>本文完成了基于 YOLO-World 与 PyQt6 的开放词汇单图检测系统，将自由英文类别输入、后台推理、结果明细与图片导出连接为完整操作流程。多场景实验给出了阈值、提示词形式和目标尺度对应的检测表现，并通过负向查询与标注粒度案例分析错误来源。后续可围绕细粒度目标的标注一致性、小目标表现及不同类别表达开展扩展评价，继续改进检测结果的可解释展示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line="280" w:lineRule="exact" w:after="140"/>
        <w:ind w:hanging="360" w:left="360"/>
      </w:pPr>
      <w:hyperlink r:id="rId15">
        <w:r>
          <w:rPr>
            <w:sz w:val="20"/>
            <w:color w:val="000000"/>
          </w:rPr>
          <w:t>[1] Redmon J, Divvala S, Girshick R, et al. You Only Look Once: Unified, Real-Time Object Detection[C]. CVPR, 2016.</w:t>
        </w:r>
      </w:hyperlink>
    </w:p>
    <w:p>
      <w:pPr>
        <w:spacing w:line="280" w:lineRule="exact" w:after="140"/>
        <w:ind w:hanging="360" w:left="360"/>
      </w:pPr>
      <w:hyperlink r:id="rId16">
        <w:r>
          <w:rPr>
            <w:sz w:val="20"/>
            <w:color w:val="000000"/>
          </w:rPr>
          <w:t>[2] Ren S, He K, Girshick R, et al. Faster R-CNN: Towards Real-Time Object Detection with Region Proposal Networks[C]. NeurIPS, 2015.</w:t>
        </w:r>
      </w:hyperlink>
    </w:p>
    <w:p>
      <w:pPr>
        <w:spacing w:line="280" w:lineRule="exact" w:after="140"/>
        <w:ind w:hanging="360" w:left="360"/>
      </w:pPr>
      <w:hyperlink r:id="rId17">
        <w:r>
          <w:rPr>
            <w:sz w:val="20"/>
            <w:color w:val="000000"/>
          </w:rPr>
          <w:t>[3] Liu W, Anguelov D, Erhan D, et al. SSD: Single Shot MultiBox Detector[C]. ECCV, 2016.</w:t>
        </w:r>
      </w:hyperlink>
    </w:p>
    <w:p>
      <w:pPr>
        <w:spacing w:line="280" w:lineRule="exact" w:after="140"/>
        <w:ind w:hanging="360" w:left="360"/>
      </w:pPr>
      <w:hyperlink r:id="rId18">
        <w:r>
          <w:rPr>
            <w:sz w:val="20"/>
            <w:color w:val="000000"/>
          </w:rPr>
          <w:t>[4] Carion N, Massa F, Synnaeve G, et al. End-to-End Object Detection with Transformers[C]. ECCV, 2020.</w:t>
        </w:r>
      </w:hyperlink>
    </w:p>
    <w:p>
      <w:pPr>
        <w:spacing w:line="280" w:lineRule="exact" w:after="140"/>
        <w:ind w:hanging="360" w:left="360"/>
      </w:pPr>
      <w:hyperlink r:id="rId19">
        <w:r>
          <w:rPr>
            <w:sz w:val="20"/>
            <w:color w:val="000000"/>
          </w:rPr>
          <w:t>[5] Radford A, Kim J W, Hallacy C, et al. Learning Transferable Visual Models From Natural Language Supervision[C]. ICML, PMLR 139, 2021: 8748–8763.</w:t>
        </w:r>
      </w:hyperlink>
    </w:p>
    <w:p>
      <w:pPr>
        <w:spacing w:line="280" w:lineRule="exact" w:after="140"/>
        <w:ind w:hanging="360" w:left="360"/>
      </w:pPr>
      <w:hyperlink r:id="rId20">
        <w:r>
          <w:rPr>
            <w:sz w:val="20"/>
            <w:color w:val="000000"/>
          </w:rPr>
          <w:t>[6] Gu X, Lin T Y, Kuo W, et al. Open-vocabulary Object Detection via Vision and Language Knowledge Distillation[C]. ICLR, 2022.</w:t>
        </w:r>
      </w:hyperlink>
    </w:p>
    <w:p>
      <w:pPr>
        <w:spacing w:line="280" w:lineRule="exact" w:after="140"/>
        <w:ind w:hanging="360" w:left="360"/>
      </w:pPr>
      <w:hyperlink r:id="rId21">
        <w:r>
          <w:rPr>
            <w:sz w:val="20"/>
            <w:color w:val="000000"/>
          </w:rPr>
          <w:t>[7] Minderer M, Gritsenko A, Stone A, et al. Simple Open-Vocabulary Object Detection with Vision Transformers[C]. ECCV, 2022.</w:t>
        </w:r>
      </w:hyperlink>
    </w:p>
    <w:p>
      <w:pPr>
        <w:spacing w:line="280" w:lineRule="exact" w:after="140"/>
        <w:ind w:hanging="360" w:left="360"/>
      </w:pPr>
      <w:hyperlink r:id="rId22">
        <w:r>
          <w:rPr>
            <w:sz w:val="20"/>
            <w:color w:val="000000"/>
          </w:rPr>
          <w:t>[8] Li L H, Zhang P, Zhang H, et al. Grounded Language-Image Pre-training[C]. CVPR, 2022.</w:t>
        </w:r>
      </w:hyperlink>
    </w:p>
    <w:p>
      <w:pPr>
        <w:spacing w:line="280" w:lineRule="exact" w:after="140"/>
        <w:ind w:hanging="360" w:left="360"/>
      </w:pPr>
      <w:hyperlink r:id="rId23">
        <w:r>
          <w:rPr>
            <w:sz w:val="20"/>
            <w:color w:val="000000"/>
          </w:rPr>
          <w:t>[9] Liu S, Zeng Z, Ren T, et al. Grounding DINO: Marrying DINO with Grounded Pre-Training for Open-Set Object Detection[C]. ECCV, 2024.</w:t>
        </w:r>
      </w:hyperlink>
    </w:p>
    <w:p>
      <w:pPr>
        <w:spacing w:line="280" w:lineRule="exact" w:after="140"/>
        <w:ind w:hanging="360" w:left="360"/>
      </w:pPr>
      <w:hyperlink r:id="rId24">
        <w:r>
          <w:rPr>
            <w:sz w:val="20"/>
            <w:color w:val="000000"/>
          </w:rPr>
          <w:t>[10] Cheng T, Song L, Ge Y, et al. YOLO-World: Real-Time Open-Vocabulary Object Detection[C]. CVPR, 2024.</w:t>
        </w:r>
      </w:hyperlink>
    </w:p>
    <w:p>
      <w:pPr>
        <w:spacing w:line="280" w:lineRule="exact" w:after="140"/>
        <w:ind w:hanging="360" w:left="360"/>
      </w:pPr>
      <w:hyperlink r:id="rId25">
        <w:r>
          <w:rPr>
            <w:sz w:val="20"/>
            <w:color w:val="000000"/>
          </w:rPr>
          <w:t>[11] Lin T Y, Maire M, Belongie S, et al. Microsoft COCO: Common Objects in Context[C]. ECCV, 2014: 740–755.</w:t>
        </w:r>
      </w:hyperlink>
    </w:p>
    <w:p>
      <w:pPr>
        <w:spacing w:line="280" w:lineRule="exact" w:after="140"/>
        <w:ind w:hanging="360" w:left="360"/>
      </w:pPr>
      <w:hyperlink r:id="rId26">
        <w:r>
          <w:rPr>
            <w:sz w:val="20"/>
            <w:color w:val="000000"/>
          </w:rPr>
          <w:t>[12] Efron B. Bootstrap Methods: Another Look at the Jackknife[J]. The Annals of Statistics, 1979, 7(1): 1–26.</w:t>
        </w:r>
      </w:hyperlink>
    </w:p>
    <w:p>
      <w:pPr>
        <w:spacing w:line="280" w:lineRule="exact" w:after="140"/>
        <w:ind w:hanging="360" w:left="360"/>
      </w:pPr>
      <w:hyperlink r:id="rId27">
        <w:r>
          <w:rPr>
            <w:sz w:val="20"/>
            <w:color w:val="000000"/>
          </w:rPr>
          <w:t>[13] Ultralytics. YOLO-World Model[EB/OL]. 访问日期 2026-10-22.</w:t>
        </w:r>
      </w:hyperlink>
    </w:p>
    <w:p>
      <w:pPr>
        <w:spacing w:line="280" w:lineRule="exact" w:after="140"/>
        <w:ind w:hanging="360" w:left="360"/>
      </w:pPr>
      <w:hyperlink r:id="rId28">
        <w:r>
          <w:rPr>
            <w:sz w:val="20"/>
            <w:color w:val="000000"/>
          </w:rPr>
          <w:t>[14] The Qt Company. QThread Class Qt 6.11[EB/OL]. 访问日期 2026-10-22.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color w:val="000000"/>
        <w:sz w:val="18"/>
      </w:rPr>
      <w:t>模式识别课程大作业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40" w:lineRule="exact" w:after="100"/>
      <w:ind w:firstLine="440"/>
    </w:pPr>
    <w:rPr>
      <w:rFonts w:ascii="Times New Roman" w:hAnsi="Times New Roman" w:eastAsia="Songti SC"/>
      <w:b w:val="0"/>
      <w:i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00" w:lineRule="exact"/>
      <w:ind w:firstLine="0"/>
      <w:outlineLvl w:val="0"/>
      <w:snapToGrid w:val="0"/>
    </w:pPr>
    <w:rPr>
      <w:rFonts w:ascii="Times New Roman" w:hAnsi="Times New Roman" w:eastAsia="Songti SC"/>
      <w:b/>
      <w:bCs/>
      <w:i w:val="0"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40" w:lineRule="exact"/>
      <w:ind w:firstLine="0"/>
      <w:outlineLvl w:val="1"/>
      <w:snapToGrid w:val="0"/>
    </w:pPr>
    <w:rPr>
      <w:rFonts w:ascii="Times New Roman" w:hAnsi="Times New Roman" w:eastAsia="Songti SC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20" w:lineRule="exact"/>
      <w:ind w:firstLine="0"/>
      <w:outlineLvl w:val="2"/>
      <w:snapToGrid w:val="0"/>
    </w:pPr>
    <w:rPr>
      <w:rFonts w:ascii="Times New Roman" w:hAnsi="Times New Roman" w:eastAsia="Songti SC"/>
      <w:b/>
      <w:bCs/>
      <w:i w:val="0"/>
      <w:color w:val="00000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80" w:lineRule="exact" w:before="200"/>
      <w:ind w:firstLine="0"/>
      <w:contextualSpacing/>
      <w:keepNext/>
      <w:snapToGrid w:val="0"/>
    </w:pPr>
    <w:rPr>
      <w:rFonts w:ascii="Times New Roman" w:hAnsi="Times New Roman" w:eastAsia="Songti SC"/>
      <w:b/>
      <w:i w:val="0"/>
      <w:color w:val="000000"/>
      <w:spacing w:val="5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napToGrid w:val="0"/>
      <w:spacing w:before="200" w:after="140" w:line="420" w:lineRule="exact"/>
      <w:ind w:firstLine="0"/>
    </w:pPr>
    <w:rPr>
      <w:rFonts w:ascii="Times New Roman" w:hAnsi="Times New Roman" w:eastAsia="Songti SC"/>
      <w:b/>
      <w:i w:val="0"/>
      <w:iCs/>
      <w:color w:val="000000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before="60" w:after="140"/>
      <w:snapToGrid w:val="0"/>
      <w:ind w:firstLine="0"/>
    </w:pPr>
    <w:rPr>
      <w:rFonts w:ascii="Times New Roman" w:hAnsi="Times New Roman" w:eastAsia="Songti SC"/>
      <w:b w:val="0"/>
      <w:bCs/>
      <w:i w:val="0"/>
      <w:color w:val="000000"/>
      <w:sz w:val="19"/>
      <w:szCs w:val="19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arxiv.org/abs/1506.02640" TargetMode="External"/><Relationship Id="rId16" Type="http://schemas.openxmlformats.org/officeDocument/2006/relationships/hyperlink" Target="https://arxiv.org/abs/1506.01497" TargetMode="External"/><Relationship Id="rId17" Type="http://schemas.openxmlformats.org/officeDocument/2006/relationships/hyperlink" Target="https://arxiv.org/abs/1512.02325" TargetMode="External"/><Relationship Id="rId18" Type="http://schemas.openxmlformats.org/officeDocument/2006/relationships/hyperlink" Target="https://arxiv.org/abs/2005.12872" TargetMode="External"/><Relationship Id="rId19" Type="http://schemas.openxmlformats.org/officeDocument/2006/relationships/hyperlink" Target="https://proceedings.mlr.press/v139/radford21a.html" TargetMode="External"/><Relationship Id="rId20" Type="http://schemas.openxmlformats.org/officeDocument/2006/relationships/hyperlink" Target="https://arxiv.org/abs/2104.13921" TargetMode="External"/><Relationship Id="rId21" Type="http://schemas.openxmlformats.org/officeDocument/2006/relationships/hyperlink" Target="https://arxiv.org/abs/2205.06230" TargetMode="External"/><Relationship Id="rId22" Type="http://schemas.openxmlformats.org/officeDocument/2006/relationships/hyperlink" Target="https://arxiv.org/abs/2112.03857" TargetMode="External"/><Relationship Id="rId23" Type="http://schemas.openxmlformats.org/officeDocument/2006/relationships/hyperlink" Target="https://arxiv.org/abs/2303.05499" TargetMode="External"/><Relationship Id="rId24" Type="http://schemas.openxmlformats.org/officeDocument/2006/relationships/hyperlink" Target="https://arxiv.org/abs/2401.17270" TargetMode="External"/><Relationship Id="rId25" Type="http://schemas.openxmlformats.org/officeDocument/2006/relationships/hyperlink" Target="https://doi.org/10.1007/978-3-319-10602-1_48" TargetMode="External"/><Relationship Id="rId26" Type="http://schemas.openxmlformats.org/officeDocument/2006/relationships/hyperlink" Target="https://doi.org/10.1214/aos/1176344552" TargetMode="External"/><Relationship Id="rId27" Type="http://schemas.openxmlformats.org/officeDocument/2006/relationships/hyperlink" Target="https://docs.ultralytics.com/models/yolo-world/" TargetMode="External"/><Relationship Id="rId28" Type="http://schemas.openxmlformats.org/officeDocument/2006/relationships/hyperlink" Target="https://doc.qt.io/qt-6.11/qthre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YOLO World 的开放词汇目标检测与可视化分析系统</dc:title>
  <dc:subject>模式识别课程报告</dc:subject>
  <dc:creator/>
  <cp:keywords>YOLO-World 开放词汇目标检测 PyQt6 系统实现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