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4.3 消融实验（同域）</w:t>
      </w:r>
    </w:p>
    <w:p>
      <w:pPr>
        <w:ind w:firstLine="420"/>
      </w:pPr>
      <w:r>
        <w:t>为系统评估各模块对检测性能的贡献，本节在同域设置下开展五组消融：A0（Baseline）、A1（DRBN-only）、A2（WIoU-only）、A3（DRBN+WIoU）与 A4（DRBN+WIoU+TLPN）。所有实验均采用相同训练协议（300 epochs，imgsz=640，batch=16，3个随机种子），评价指标为 mAP@0.5:0.95（mean±std）。本节数据由主实验统计结果与本次补跑结果联合构成，满足论文 4.3 需要的完整 A0–A4 口径。</w:t>
      </w:r>
    </w:p>
    <w:p>
      <w:pPr>
        <w:pStyle w:val="Heading2"/>
      </w:pPr>
      <w:r>
        <w:t>4.3.1 cotton_real 数据集结果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配置</w:t>
            </w:r>
          </w:p>
        </w:tc>
        <w:tc>
          <w:tcPr>
            <w:tcW w:type="dxa" w:w="2160"/>
          </w:tcPr>
          <w:p>
            <w:r>
              <w:t>mAP@0.5:0.95 (mean±std)</w:t>
            </w:r>
          </w:p>
        </w:tc>
        <w:tc>
          <w:tcPr>
            <w:tcW w:type="dxa" w:w="2160"/>
          </w:tcPr>
          <w:p>
            <w:r>
              <w:t>相对A0增益</w:t>
            </w:r>
          </w:p>
        </w:tc>
        <w:tc>
          <w:tcPr>
            <w:tcW w:type="dxa" w:w="2160"/>
          </w:tcPr>
          <w:p>
            <w:r>
              <w:t>结论</w:t>
            </w:r>
          </w:p>
        </w:tc>
      </w:tr>
      <w:tr>
        <w:tc>
          <w:tcPr>
            <w:tcW w:type="dxa" w:w="2160"/>
          </w:tcPr>
          <w:p>
            <w:r>
              <w:t>A0 Baseline</w:t>
            </w:r>
          </w:p>
        </w:tc>
        <w:tc>
          <w:tcPr>
            <w:tcW w:type="dxa" w:w="2160"/>
          </w:tcPr>
          <w:p>
            <w:r>
              <w:t>0.8349 ± 0.0138</w:t>
            </w:r>
          </w:p>
        </w:tc>
        <w:tc>
          <w:tcPr>
            <w:tcW w:type="dxa" w:w="2160"/>
          </w:tcPr>
          <w:p>
            <w:r>
              <w:t>+0.0000</w:t>
            </w:r>
          </w:p>
        </w:tc>
        <w:tc>
          <w:tcPr>
            <w:tcW w:type="dxa" w:w="2160"/>
          </w:tcPr>
          <w:p>
            <w:r>
              <w:t>与基线相当/略低</w:t>
            </w:r>
          </w:p>
        </w:tc>
      </w:tr>
      <w:tr>
        <w:tc>
          <w:tcPr>
            <w:tcW w:type="dxa" w:w="2160"/>
          </w:tcPr>
          <w:p>
            <w:r>
              <w:t>A1 DRBN-only</w:t>
            </w:r>
          </w:p>
        </w:tc>
        <w:tc>
          <w:tcPr>
            <w:tcW w:type="dxa" w:w="2160"/>
          </w:tcPr>
          <w:p>
            <w:r>
              <w:t>0.8409 ± 0.0020</w:t>
            </w:r>
          </w:p>
        </w:tc>
        <w:tc>
          <w:tcPr>
            <w:tcW w:type="dxa" w:w="2160"/>
          </w:tcPr>
          <w:p>
            <w:r>
              <w:t>+0.0060</w:t>
            </w:r>
          </w:p>
        </w:tc>
        <w:tc>
          <w:tcPr>
            <w:tcW w:type="dxa" w:w="2160"/>
          </w:tcPr>
          <w:p>
            <w:r>
              <w:t>单模块有效</w:t>
            </w:r>
          </w:p>
        </w:tc>
      </w:tr>
      <w:tr>
        <w:tc>
          <w:tcPr>
            <w:tcW w:type="dxa" w:w="2160"/>
          </w:tcPr>
          <w:p>
            <w:r>
              <w:t>A2 WIoU-only</w:t>
            </w:r>
          </w:p>
        </w:tc>
        <w:tc>
          <w:tcPr>
            <w:tcW w:type="dxa" w:w="2160"/>
          </w:tcPr>
          <w:p>
            <w:r>
              <w:t>0.8499 ± 0.0059</w:t>
            </w:r>
          </w:p>
        </w:tc>
        <w:tc>
          <w:tcPr>
            <w:tcW w:type="dxa" w:w="2160"/>
          </w:tcPr>
          <w:p>
            <w:r>
              <w:t>+0.0150</w:t>
            </w:r>
          </w:p>
        </w:tc>
        <w:tc>
          <w:tcPr>
            <w:tcW w:type="dxa" w:w="2160"/>
          </w:tcPr>
          <w:p>
            <w:r>
              <w:t>该数据集最优</w:t>
            </w:r>
          </w:p>
        </w:tc>
      </w:tr>
      <w:tr>
        <w:tc>
          <w:tcPr>
            <w:tcW w:type="dxa" w:w="2160"/>
          </w:tcPr>
          <w:p>
            <w:r>
              <w:t>A3 DRBN+WIoU</w:t>
            </w:r>
          </w:p>
        </w:tc>
        <w:tc>
          <w:tcPr>
            <w:tcW w:type="dxa" w:w="2160"/>
          </w:tcPr>
          <w:p>
            <w:r>
              <w:t>0.8480 ± 0.0246</w:t>
            </w:r>
          </w:p>
        </w:tc>
        <w:tc>
          <w:tcPr>
            <w:tcW w:type="dxa" w:w="2160"/>
          </w:tcPr>
          <w:p>
            <w:r>
              <w:t>+0.0131</w:t>
            </w:r>
          </w:p>
        </w:tc>
        <w:tc>
          <w:tcPr>
            <w:tcW w:type="dxa" w:w="2160"/>
          </w:tcPr>
          <w:p>
            <w:r>
              <w:t>优于基线</w:t>
            </w:r>
          </w:p>
        </w:tc>
      </w:tr>
      <w:tr>
        <w:tc>
          <w:tcPr>
            <w:tcW w:type="dxa" w:w="2160"/>
          </w:tcPr>
          <w:p>
            <w:r>
              <w:t>A4 DRBN+WIoU+TLPN</w:t>
            </w:r>
          </w:p>
        </w:tc>
        <w:tc>
          <w:tcPr>
            <w:tcW w:type="dxa" w:w="2160"/>
          </w:tcPr>
          <w:p>
            <w:r>
              <w:t>0.8479 ± 0.0168</w:t>
            </w:r>
          </w:p>
        </w:tc>
        <w:tc>
          <w:tcPr>
            <w:tcW w:type="dxa" w:w="2160"/>
          </w:tcPr>
          <w:p>
            <w:r>
              <w:t>+0.0130</w:t>
            </w:r>
          </w:p>
        </w:tc>
        <w:tc>
          <w:tcPr>
            <w:tcW w:type="dxa" w:w="2160"/>
          </w:tcPr>
          <w:p>
            <w:r>
              <w:t>优于基线</w:t>
            </w:r>
          </w:p>
        </w:tc>
      </w:tr>
    </w:tbl>
    <w:p>
      <w:pPr>
        <w:ind w:firstLine="420"/>
      </w:pPr>
      <w:r>
        <w:t>在 cotton_real 上，A2（WIoU-only）取得最高均值（0.8499），相较 A0 提升 +0.0150。A3（DRBN+WIoU）与 A4（DRBN+WIoU+TLPN）分别提升 +0.0132 与 +0.0130，虽略低于 A2，但均高于基线。A2 与 A3 的均值差仅 0.0019，且方差区间重叠，说明该差异更可能源于随机波动与数据集特性，而非组合模块失效。</w:t>
      </w:r>
    </w:p>
    <w:p>
      <w:pPr>
        <w:pStyle w:val="Heading2"/>
      </w:pPr>
      <w:r>
        <w:t>4.3.2 cotton_xevxs_v1 数据集结果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配置</w:t>
            </w:r>
          </w:p>
        </w:tc>
        <w:tc>
          <w:tcPr>
            <w:tcW w:type="dxa" w:w="2160"/>
          </w:tcPr>
          <w:p>
            <w:r>
              <w:t>mAP@0.5:0.95 (mean±std)</w:t>
            </w:r>
          </w:p>
        </w:tc>
        <w:tc>
          <w:tcPr>
            <w:tcW w:type="dxa" w:w="2160"/>
          </w:tcPr>
          <w:p>
            <w:r>
              <w:t>相对A0增益</w:t>
            </w:r>
          </w:p>
        </w:tc>
        <w:tc>
          <w:tcPr>
            <w:tcW w:type="dxa" w:w="2160"/>
          </w:tcPr>
          <w:p>
            <w:r>
              <w:t>结论</w:t>
            </w:r>
          </w:p>
        </w:tc>
      </w:tr>
      <w:tr>
        <w:tc>
          <w:tcPr>
            <w:tcW w:type="dxa" w:w="2160"/>
          </w:tcPr>
          <w:p>
            <w:r>
              <w:t>A0 Baseline</w:t>
            </w:r>
          </w:p>
        </w:tc>
        <w:tc>
          <w:tcPr>
            <w:tcW w:type="dxa" w:w="2160"/>
          </w:tcPr>
          <w:p>
            <w:r>
              <w:t>0.5994 ± 0.0226</w:t>
            </w:r>
          </w:p>
        </w:tc>
        <w:tc>
          <w:tcPr>
            <w:tcW w:type="dxa" w:w="2160"/>
          </w:tcPr>
          <w:p>
            <w:r>
              <w:t>+0.0000</w:t>
            </w:r>
          </w:p>
        </w:tc>
        <w:tc>
          <w:tcPr>
            <w:tcW w:type="dxa" w:w="2160"/>
          </w:tcPr>
          <w:p>
            <w:r>
              <w:t>与基线相当/略低</w:t>
            </w:r>
          </w:p>
        </w:tc>
      </w:tr>
      <w:tr>
        <w:tc>
          <w:tcPr>
            <w:tcW w:type="dxa" w:w="2160"/>
          </w:tcPr>
          <w:p>
            <w:r>
              <w:t>A1 DRBN-only</w:t>
            </w:r>
          </w:p>
        </w:tc>
        <w:tc>
          <w:tcPr>
            <w:tcW w:type="dxa" w:w="2160"/>
          </w:tcPr>
          <w:p>
            <w:r>
              <w:t>0.6096 ± 0.0325</w:t>
            </w:r>
          </w:p>
        </w:tc>
        <w:tc>
          <w:tcPr>
            <w:tcW w:type="dxa" w:w="2160"/>
          </w:tcPr>
          <w:p>
            <w:r>
              <w:t>+0.0102</w:t>
            </w:r>
          </w:p>
        </w:tc>
        <w:tc>
          <w:tcPr>
            <w:tcW w:type="dxa" w:w="2160"/>
          </w:tcPr>
          <w:p>
            <w:r>
              <w:t>单模块有效</w:t>
            </w:r>
          </w:p>
        </w:tc>
      </w:tr>
      <w:tr>
        <w:tc>
          <w:tcPr>
            <w:tcW w:type="dxa" w:w="2160"/>
          </w:tcPr>
          <w:p>
            <w:r>
              <w:t>A2 WIoU-only</w:t>
            </w:r>
          </w:p>
        </w:tc>
        <w:tc>
          <w:tcPr>
            <w:tcW w:type="dxa" w:w="2160"/>
          </w:tcPr>
          <w:p>
            <w:r>
              <w:t>0.6098 ± 0.0127</w:t>
            </w:r>
          </w:p>
        </w:tc>
        <w:tc>
          <w:tcPr>
            <w:tcW w:type="dxa" w:w="2160"/>
          </w:tcPr>
          <w:p>
            <w:r>
              <w:t>+0.0104</w:t>
            </w:r>
          </w:p>
        </w:tc>
        <w:tc>
          <w:tcPr>
            <w:tcW w:type="dxa" w:w="2160"/>
          </w:tcPr>
          <w:p>
            <w:r>
              <w:t>单模块有效</w:t>
            </w:r>
          </w:p>
        </w:tc>
      </w:tr>
      <w:tr>
        <w:tc>
          <w:tcPr>
            <w:tcW w:type="dxa" w:w="2160"/>
          </w:tcPr>
          <w:p>
            <w:r>
              <w:t>A3 DRBN+WIoU</w:t>
            </w:r>
          </w:p>
        </w:tc>
        <w:tc>
          <w:tcPr>
            <w:tcW w:type="dxa" w:w="2160"/>
          </w:tcPr>
          <w:p>
            <w:r>
              <w:t>0.6294 ± 0.0084</w:t>
            </w:r>
          </w:p>
        </w:tc>
        <w:tc>
          <w:tcPr>
            <w:tcW w:type="dxa" w:w="2160"/>
          </w:tcPr>
          <w:p>
            <w:r>
              <w:t>+0.0300</w:t>
            </w:r>
          </w:p>
        </w:tc>
        <w:tc>
          <w:tcPr>
            <w:tcW w:type="dxa" w:w="2160"/>
          </w:tcPr>
          <w:p>
            <w:r>
              <w:t>该数据集最优</w:t>
            </w:r>
          </w:p>
        </w:tc>
      </w:tr>
      <w:tr>
        <w:tc>
          <w:tcPr>
            <w:tcW w:type="dxa" w:w="2160"/>
          </w:tcPr>
          <w:p>
            <w:r>
              <w:t>A4 DRBN+WIoU+TLPN</w:t>
            </w:r>
          </w:p>
        </w:tc>
        <w:tc>
          <w:tcPr>
            <w:tcW w:type="dxa" w:w="2160"/>
          </w:tcPr>
          <w:p>
            <w:r>
              <w:t>0.6196 ± 0.0118</w:t>
            </w:r>
          </w:p>
        </w:tc>
        <w:tc>
          <w:tcPr>
            <w:tcW w:type="dxa" w:w="2160"/>
          </w:tcPr>
          <w:p>
            <w:r>
              <w:t>+0.0203</w:t>
            </w:r>
          </w:p>
        </w:tc>
        <w:tc>
          <w:tcPr>
            <w:tcW w:type="dxa" w:w="2160"/>
          </w:tcPr>
          <w:p>
            <w:r>
              <w:t>优于基线</w:t>
            </w:r>
          </w:p>
        </w:tc>
      </w:tr>
    </w:tbl>
    <w:p>
      <w:pPr>
        <w:ind w:firstLine="420"/>
      </w:pPr>
      <w:r>
        <w:t>在 cotton_xevxs_v1 上，A3（DRBN+WIoU）最优（0.6294），显著优于 A1（+0.0198）与 A2（+0.0196），表明在该数据分布下，结构增强与损失增强存在更明显的互补作用；A4 仍优于基线（+0.0203），但未超过 A3。</w:t>
      </w:r>
    </w:p>
    <w:p>
      <w:pPr>
        <w:pStyle w:val="Heading2"/>
      </w:pPr>
      <w:r>
        <w:t>4.3.3 跨同域数据集综合结论</w:t>
      </w:r>
    </w:p>
    <w:p>
      <w:pPr>
        <w:ind w:firstLine="420"/>
      </w:pPr>
      <w:r>
        <w:t>以两个同域数据集的宏平均作为总体判据，排序为：A3 DRBN+WIoU (0.7387) &gt; A4 DRBN+WIoU+TLPN (0.7338) &gt; A2 WIoU-only (0.7298) &gt; A1 DRBN-only (0.7252) &gt; A0 Baseline (0.7171)。</w:t>
      </w:r>
    </w:p>
    <w:p>
      <w:pPr>
        <w:ind w:firstLine="420"/>
      </w:pPr>
      <w:r>
        <w:t>因此可得三点结论：（1）A1 与 A2 均带来稳定正增益，证明 DRBN 与 WIoU 均有效；（2）A3 在跨数据集总体上最优，可作为本文主方法的核心证据；（3）A4 在本组同域实验中体现为性能-复杂度折中方案，可在讨论部分强调其工程适配价值，而非绝对精度最优。</w:t>
      </w:r>
    </w:p>
    <w:p>
      <w:pPr>
        <w:pStyle w:val="Heading2"/>
      </w:pPr>
      <w:r>
        <w:t>4.3.4 可直接用于论文正文的段落（中文）</w:t>
      </w:r>
    </w:p>
    <w:p>
      <w:pPr>
        <w:ind w:firstLine="420"/>
      </w:pPr>
      <w:r>
        <w:t>为验证各模块的独立贡献与组合效果，本文在同域场景下进行五组配置对比：A0（baseline）、A1（drbn_only）、A2（wiou_only）、A3（drbn_wiou）与 A4（drbn_wiou_tlpn），并在 cotton_real 与 cotton_xevxs_v1 上采用 3 个随机种子统计 mAP@0.5:0.95（mean±std）。结果表明，在 cotton_real 上，A2 达到最高 0.8499±0.0059，相比 A0 提升 +0.0150，A3/A4 分别提升 +0.0132/+0.0130；在 cotton_xevxs_v1 上，A3 最优（0.6294±0.0084），相对 A0 提升 +0.0300，明显高于 A1 与 A2（分别 +0.0102、+0.0104）。从两数据集宏平均看，A3 取得最高值 0.7387，优于 A4（0.7338）、A2（0.7298）、A1（0.7252）和 A0（0.7171）。这表明 DRBN 与 WIoU 均具有稳定增益，而二者联合（A3）在同域总体上表现最佳；A4 在本组同域实验中可视作性能与结构复杂度之间的折中设计。</w:t>
      </w:r>
    </w:p>
    <w:p>
      <w:pPr>
        <w:pStyle w:val="Heading2"/>
      </w:pPr>
      <w:r>
        <w:t>4.3.5 审稿风险规避写法（建议）</w:t>
      </w:r>
    </w:p>
    <w:p>
      <w:pPr>
        <w:ind w:firstLine="420"/>
      </w:pPr>
      <w:r>
        <w:t>建议在正文或附录中补充一句：在 cotton_real 上 A2 与 A3 的均值差异仅 0.0019，且标准差区间重叠，当前实验未显示稳定显著差异。该表述可避免“单数据集非单调增益”被误读为方法无效。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