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项目投标分析与建议书</w:t>
      </w:r>
    </w:p>
    <w:p>
      <w:pPr>
        <w:pStyle w:val="Heading2"/>
      </w:pPr>
      <w:r>
        <w:t>一、项目基本信息</w:t>
      </w:r>
    </w:p>
    <w:tbl>
      <w:tblPr>
        <w:tblStyle w:val="LightGrid-Accent1"/>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r>
              <w:t>项目名称</w:t>
            </w:r>
          </w:p>
        </w:tc>
        <w:tc>
          <w:tcPr>
            <w:tcW w:type="dxa" w:w="4320"/>
          </w:tcPr>
          <w:p>
            <w:r>
              <w:t>Ceara Rural Sustainable Development Phase II</w:t>
            </w:r>
          </w:p>
        </w:tc>
      </w:tr>
      <w:tr>
        <w:tc>
          <w:tcPr>
            <w:tcW w:type="dxa" w:w="4320"/>
          </w:tcPr>
          <w:p>
            <w:r>
              <w:t>项目ID</w:t>
            </w:r>
          </w:p>
        </w:tc>
        <w:tc>
          <w:tcPr>
            <w:tcW w:type="dxa" w:w="4320"/>
          </w:tcPr>
          <w:p>
            <w:r>
              <w:t>P167455</w:t>
            </w:r>
          </w:p>
        </w:tc>
      </w:tr>
      <w:tr>
        <w:tc>
          <w:tcPr>
            <w:tcW w:type="dxa" w:w="4320"/>
          </w:tcPr>
          <w:p>
            <w:r>
              <w:t>资金来源</w:t>
            </w:r>
          </w:p>
        </w:tc>
        <w:tc>
          <w:tcPr>
            <w:tcW w:type="dxa" w:w="4320"/>
          </w:tcPr>
          <w:p>
            <w:r>
              <w:t>世界银行（IBRD）</w:t>
            </w:r>
          </w:p>
        </w:tc>
      </w:tr>
      <w:tr>
        <w:tc>
          <w:tcPr>
            <w:tcW w:type="dxa" w:w="4320"/>
          </w:tcPr>
          <w:p>
            <w:r>
              <w:t>总预算</w:t>
            </w:r>
          </w:p>
        </w:tc>
        <w:tc>
          <w:tcPr>
            <w:tcW w:type="dxa" w:w="4320"/>
          </w:tcPr>
          <w:p>
            <w:r>
              <w:t>US$ 153,530,000 （约11.1亿人民币）</w:t>
            </w:r>
          </w:p>
        </w:tc>
      </w:tr>
      <w:tr>
        <w:tc>
          <w:tcPr>
            <w:tcW w:type="dxa" w:w="4320"/>
          </w:tcPr>
          <w:p>
            <w:r>
              <w:t>实施机构</w:t>
            </w:r>
          </w:p>
        </w:tc>
        <w:tc>
          <w:tcPr>
            <w:tcW w:type="dxa" w:w="4320"/>
          </w:tcPr>
          <w:p>
            <w:r>
              <w:t>塞阿拉州农业发展厅</w:t>
            </w:r>
          </w:p>
        </w:tc>
      </w:tr>
      <w:tr>
        <w:tc>
          <w:tcPr>
            <w:tcW w:type="dxa" w:w="4320"/>
          </w:tcPr>
          <w:p>
            <w:r>
              <w:t>国家</w:t>
            </w:r>
          </w:p>
        </w:tc>
        <w:tc>
          <w:tcPr>
            <w:tcW w:type="dxa" w:w="4320"/>
          </w:tcPr>
          <w:p>
            <w:r>
              <w:t>巴西 · 塞阿拉州</w:t>
            </w:r>
          </w:p>
        </w:tc>
      </w:tr>
      <w:tr>
        <w:tc>
          <w:tcPr>
            <w:tcW w:type="dxa" w:w="4320"/>
          </w:tcPr>
          <w:p>
            <w:r>
              <w:t>项目周期</w:t>
            </w:r>
          </w:p>
        </w:tc>
        <w:tc>
          <w:tcPr>
            <w:tcW w:type="dxa" w:w="4320"/>
          </w:tcPr>
          <w:p>
            <w:r>
              <w:t>2020年4月 - 2027年9月30日</w:t>
            </w:r>
          </w:p>
        </w:tc>
      </w:tr>
    </w:tbl>
    <w:p/>
    <w:p>
      <w:pPr>
        <w:pStyle w:val="Heading2"/>
      </w:pPr>
      <w:r>
        <w:t>二、招标详情</w:t>
      </w:r>
    </w:p>
    <w:tbl>
      <w:tblPr>
        <w:tblStyle w:val="LightGrid-Accent1"/>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r>
              <w:t>招标类型</w:t>
            </w:r>
          </w:p>
        </w:tc>
        <w:tc>
          <w:tcPr>
            <w:tcW w:type="dxa" w:w="4320"/>
          </w:tcPr>
          <w:p>
            <w:r>
              <w:t>Invitation for Bids（投标邀请）</w:t>
            </w:r>
          </w:p>
        </w:tc>
      </w:tr>
      <w:tr>
        <w:tc>
          <w:tcPr>
            <w:tcW w:type="dxa" w:w="4320"/>
          </w:tcPr>
          <w:p>
            <w:r>
              <w:t>发布日期</w:t>
            </w:r>
          </w:p>
        </w:tc>
        <w:tc>
          <w:tcPr>
            <w:tcW w:type="dxa" w:w="4320"/>
          </w:tcPr>
          <w:p>
            <w:r>
              <w:t>2026年5月8日</w:t>
            </w:r>
          </w:p>
        </w:tc>
      </w:tr>
      <w:tr>
        <w:tc>
          <w:tcPr>
            <w:tcW w:type="dxa" w:w="4320"/>
          </w:tcPr>
          <w:p>
            <w:r>
              <w:t>工作范围</w:t>
            </w:r>
          </w:p>
        </w:tc>
        <w:tc>
          <w:tcPr>
            <w:tcW w:type="dxa" w:w="4320"/>
          </w:tcPr>
          <w:p>
            <w:r>
              <w:t>农村供水系统建设+卫生模块+材料供应安装</w:t>
            </w:r>
          </w:p>
        </w:tc>
      </w:tr>
    </w:tbl>
    <w:p/>
    <w:p>
      <w:pPr>
        <w:pStyle w:val="Heading2"/>
      </w:pPr>
      <w:r>
        <w:t>三、项目背景</w:t>
      </w:r>
    </w:p>
    <w:p>
      <w:r>
        <w:rPr>
          <w:sz w:val="22"/>
        </w:rPr>
        <w:t>塞阿拉州位于巴西东北部半干旱气候区，水资源匮乏。本项目是世行资助的São Jose III第二阶段，核心目标是通过气候适应性方案提升农村居民市场接入能力及供水卫生设施覆盖。</w:t>
      </w:r>
    </w:p>
    <w:p>
      <w:pPr>
        <w:pStyle w:val="Heading2"/>
      </w:pPr>
      <w:r>
        <w:t>四、风险分析</w:t>
      </w:r>
    </w:p>
    <w:p>
      <w:r>
        <w:rPr>
          <w:sz w:val="22"/>
        </w:rPr>
        <w:t>1. 财务风险：已拨付约7000万美元，剩余约8300万美元需16个月内完成，巴西政府配套资金有延迟风险</w:t>
      </w:r>
    </w:p>
    <w:p>
      <w:r>
        <w:rPr>
          <w:sz w:val="22"/>
        </w:rPr>
        <w:t>2. 时间风险：项目2027年9月关闭，执行节奏紧迫</w:t>
      </w:r>
    </w:p>
    <w:p>
      <w:r>
        <w:rPr>
          <w:sz w:val="22"/>
        </w:rPr>
        <w:t>3. 执行风险：农村物流成本高，半干旱气候限制施工窗口期</w:t>
      </w:r>
    </w:p>
    <w:p>
      <w:r>
        <w:rPr>
          <w:sz w:val="22"/>
        </w:rPr>
        <w:t>4. 竞争风险：需巴西本地注册或合作伙伴，需葡萄牙语文档能力</w:t>
      </w:r>
    </w:p>
    <w:p>
      <w:pPr>
        <w:pStyle w:val="Heading2"/>
      </w:pPr>
      <w:r>
        <w:t>五、投标策略</w:t>
      </w:r>
    </w:p>
    <w:p>
      <w:r>
        <w:rPr>
          <w:sz w:val="22"/>
        </w:rPr>
        <w:t>合作模式：推荐与巴西本地建筑公司组成联合体</w:t>
      </w:r>
    </w:p>
    <w:p>
      <w:r>
        <w:rPr>
          <w:sz w:val="22"/>
        </w:rPr>
        <w:t>技术方案：深井取水+小型水处理+管网入户+卫生模块</w:t>
      </w:r>
    </w:p>
    <w:p>
      <w:r>
        <w:rPr>
          <w:sz w:val="22"/>
        </w:rPr>
        <w:t>差异化：强调气候适应性供水方案和社区参与培训</w:t>
      </w:r>
    </w:p>
    <w:p>
      <w:pPr>
        <w:pStyle w:val="Heading2"/>
      </w:pPr>
      <w:r>
        <w:t>六、执行计划</w:t>
      </w:r>
    </w:p>
    <w:p>
      <w:r>
        <w:rPr>
          <w:sz w:val="22"/>
        </w:rPr>
        <w:t>启动期（2个月）：合同签订、团队组建、施工图设计</w:t>
      </w:r>
    </w:p>
    <w:p>
      <w:r>
        <w:rPr>
          <w:sz w:val="22"/>
        </w:rPr>
        <w:t>施工期（8个月）：水源工程、管网铺设、储水设施、平行施工</w:t>
      </w:r>
    </w:p>
    <w:p>
      <w:r>
        <w:rPr>
          <w:sz w:val="22"/>
        </w:rPr>
        <w:t>收尾（2-3个月）：系统调试、培训移交、竣工资料</w:t>
      </w:r>
    </w:p>
    <w:p>
      <w:r>
        <w:rPr>
          <w:sz w:val="22"/>
        </w:rPr>
        <w:t>质保期（12个月）：运行监测、问题整改、最终验收</w:t>
      </w:r>
    </w:p>
    <w:p>
      <w:pPr>
        <w:pStyle w:val="Heading2"/>
      </w:pPr>
      <w:r>
        <w:t>七、行动建议</w:t>
      </w:r>
    </w:p>
    <w:tbl>
      <w:tblPr>
        <w:tblStyle w:val="LightGrid-Accent1"/>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r>
              <w:t>高</w:t>
            </w:r>
          </w:p>
        </w:tc>
        <w:tc>
          <w:tcPr>
            <w:tcW w:type="dxa" w:w="4320"/>
          </w:tcPr>
          <w:p>
            <w:r>
              <w:t>获取完整招标文件并翻译</w:t>
            </w:r>
          </w:p>
        </w:tc>
      </w:tr>
      <w:tr>
        <w:tc>
          <w:tcPr>
            <w:tcW w:type="dxa" w:w="4320"/>
          </w:tcPr>
          <w:p>
            <w:r>
              <w:t>高</w:t>
            </w:r>
          </w:p>
        </w:tc>
        <w:tc>
          <w:tcPr>
            <w:tcW w:type="dxa" w:w="4320"/>
          </w:tcPr>
          <w:p>
            <w:r>
              <w:t>寻找巴西本地建筑合作伙伴</w:t>
            </w:r>
          </w:p>
        </w:tc>
      </w:tr>
      <w:tr>
        <w:tc>
          <w:tcPr>
            <w:tcW w:type="dxa" w:w="4320"/>
          </w:tcPr>
          <w:p>
            <w:r>
              <w:t>中</w:t>
            </w:r>
          </w:p>
        </w:tc>
        <w:tc>
          <w:tcPr>
            <w:tcW w:type="dxa" w:w="4320"/>
          </w:tcPr>
          <w:p>
            <w:r>
              <w:t>准备葡萄牙语资质文件</w:t>
            </w:r>
          </w:p>
        </w:tc>
      </w:tr>
      <w:tr>
        <w:tc>
          <w:tcPr>
            <w:tcW w:type="dxa" w:w="4320"/>
          </w:tcPr>
          <w:p>
            <w:r>
              <w:t>中</w:t>
            </w:r>
          </w:p>
        </w:tc>
        <w:tc>
          <w:tcPr>
            <w:tcW w:type="dxa" w:w="4320"/>
          </w:tcPr>
          <w:p>
            <w:r>
              <w:t>现场踏勘</w:t>
            </w:r>
          </w:p>
        </w:tc>
      </w:tr>
    </w:tbl>
    <w:p/>
    <w:p>
      <w:r>
        <w:rPr>
          <w:sz w:val="22"/>
        </w:rPr>
        <w:t>分析基于公开世行项目信息，实际投标以完整招标文件为准。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