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8792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</w:rPr>
        <w:t>Shiping Gao</w:t>
      </w:r>
    </w:p>
    <w:p w14:paraId="05660834">
      <w:pPr>
        <w:jc w:val="center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Email: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hint="eastAsia" w:ascii="Times New Roman" w:hAnsi="Times New Roman" w:cs="Times New Roman"/>
          <w:sz w:val="22"/>
          <w:szCs w:val="22"/>
          <w:u w:val="single"/>
        </w:rPr>
        <w:t>shiping@umich.edu</w:t>
      </w:r>
      <w:r>
        <w:rPr>
          <w:rFonts w:hint="eastAsia" w:ascii="Times New Roman" w:hAnsi="Times New Roman" w:cs="Times New Roman"/>
          <w:sz w:val="22"/>
          <w:szCs w:val="22"/>
        </w:rPr>
        <w:t xml:space="preserve"> / </w:t>
      </w:r>
      <w:r>
        <w:rPr>
          <w:rFonts w:hint="eastAsia" w:ascii="Times New Roman" w:hAnsi="Times New Roman" w:cs="Times New Roman"/>
          <w:sz w:val="22"/>
          <w:szCs w:val="22"/>
          <w:u w:val="single"/>
        </w:rPr>
        <w:t>rungao2001@outlook.com</w:t>
      </w:r>
    </w:p>
    <w:p w14:paraId="068C1AA6">
      <w:pPr>
        <w:pBdr>
          <w:bottom w:val="single" w:color="auto" w:sz="6" w:space="1"/>
        </w:pBdr>
        <w:spacing w:before="187" w:beforeLines="60"/>
        <w:jc w:val="left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RESEARCH INTEREST</w:t>
      </w:r>
      <w:r>
        <w:rPr>
          <w:rFonts w:hint="eastAsia" w:ascii="Times New Roman" w:hAnsi="Times New Roman" w:cs="Times New Roman"/>
          <w:b/>
          <w:sz w:val="22"/>
          <w:szCs w:val="22"/>
        </w:rPr>
        <w:t xml:space="preserve"> </w:t>
      </w:r>
    </w:p>
    <w:tbl>
      <w:tblPr>
        <w:tblStyle w:val="11"/>
        <w:tblW w:w="10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0"/>
      </w:tblGrid>
      <w:tr w14:paraId="50FF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0" w:type="dxa"/>
            <w:tcBorders>
              <w:top w:val="nil"/>
              <w:left w:val="nil"/>
              <w:bottom w:val="nil"/>
              <w:right w:val="nil"/>
            </w:tcBorders>
          </w:tcPr>
          <w:p w14:paraId="032C2E79">
            <w:p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NLP, LLMs, 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RLHF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, Reward Hacking, Fine-Grained Reward Modeling,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and LLM Reasoning.  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</w:t>
            </w:r>
          </w:p>
        </w:tc>
      </w:tr>
    </w:tbl>
    <w:p w14:paraId="51AB69E3">
      <w:pPr>
        <w:pBdr>
          <w:bottom w:val="single" w:color="auto" w:sz="6" w:space="1"/>
        </w:pBdr>
        <w:spacing w:before="187" w:beforeLines="60"/>
        <w:jc w:val="left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EDUCATION BACKGROUND</w:t>
      </w:r>
    </w:p>
    <w:tbl>
      <w:tblPr>
        <w:tblStyle w:val="11"/>
        <w:tblW w:w="10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9"/>
        <w:gridCol w:w="3333"/>
      </w:tblGrid>
      <w:tr w14:paraId="50A8E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9" w:type="dxa"/>
            <w:tcBorders>
              <w:top w:val="nil"/>
              <w:left w:val="nil"/>
              <w:bottom w:val="nil"/>
              <w:right w:val="nil"/>
            </w:tcBorders>
          </w:tcPr>
          <w:p w14:paraId="4768CE1B">
            <w:pP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University of Michigan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(UMich)            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10"/>
                <w:szCs w:val="10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Ann Arbor, MI, USA</w:t>
            </w:r>
          </w:p>
          <w:p w14:paraId="478F2027">
            <w:pPr>
              <w:pStyle w:val="17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Wingdings-Regular" w:cs="Times New Roman"/>
                <w:kern w:val="0"/>
                <w:sz w:val="22"/>
                <w:szCs w:val="22"/>
                <w:lang w:bidi="ar"/>
              </w:rPr>
              <w:t>Incoming PhD</w:t>
            </w:r>
            <w:r>
              <w:rPr>
                <w:rFonts w:ascii="Times New Roman" w:hAnsi="Times New Roman" w:eastAsia="Wingdings-Regular" w:cs="Times New Roman"/>
                <w:kern w:val="0"/>
                <w:sz w:val="22"/>
                <w:szCs w:val="22"/>
                <w:lang w:bidi="ar"/>
              </w:rPr>
              <w:t>. in Computer Science and Engineering</w:t>
            </w:r>
            <w:r>
              <w:rPr>
                <w:rFonts w:hint="eastAsia" w:ascii="Times New Roman" w:hAnsi="Times New Roman" w:eastAsia="宋体" w:cs="Times New Roman"/>
                <w:kern w:val="0"/>
                <w:sz w:val="22"/>
                <w:szCs w:val="22"/>
                <w:lang w:bidi="ar"/>
              </w:rPr>
              <w:t>, Advisor: Silviu Pitis.</w:t>
            </w:r>
          </w:p>
          <w:p w14:paraId="1C03CF84">
            <w:pPr>
              <w:spacing w:before="120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Sun Yat-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Sen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University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(SYSU, Project 985)   Guangzhou, China</w:t>
            </w:r>
          </w:p>
          <w:p w14:paraId="66E44E57">
            <w:pPr>
              <w:pStyle w:val="17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Wingdings-Regular" w:cs="Times New Roman"/>
                <w:kern w:val="0"/>
                <w:sz w:val="22"/>
                <w:szCs w:val="22"/>
                <w:lang w:bidi="ar"/>
              </w:rPr>
              <w:t>MPhil. in Computer Science and Technology, GPA: 89.84/100.</w:t>
            </w:r>
          </w:p>
          <w:p w14:paraId="380A0E05">
            <w:pPr>
              <w:spacing w:before="120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Lanzhou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University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(LZU, Project 985)     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13"/>
                <w:szCs w:val="1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Lanzhou, China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</w:tcPr>
          <w:p w14:paraId="354A1699">
            <w:pPr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Sep 20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26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–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Jun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20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30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(Expected)</w:t>
            </w:r>
          </w:p>
          <w:p w14:paraId="2349B080">
            <w:pPr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</w:p>
          <w:p w14:paraId="74C8A683">
            <w:pPr>
              <w:spacing w:before="120"/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Sep 2023 – Ju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2026 (Expected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)</w:t>
            </w:r>
          </w:p>
          <w:p w14:paraId="640B5243">
            <w:pPr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</w:p>
          <w:p w14:paraId="55FC1640">
            <w:pPr>
              <w:spacing w:before="120"/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Sep 2019 – Jul 2023</w:t>
            </w:r>
          </w:p>
        </w:tc>
      </w:tr>
      <w:tr w14:paraId="48020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DDFAA0">
            <w:pPr>
              <w:pStyle w:val="17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>B.Eng. in Computer Science and Technology, GPA:</w:t>
            </w:r>
            <w:r>
              <w:rPr>
                <w:rFonts w:hint="eastAsia" w:ascii="Times New Roman" w:hAnsi="Times New Roman" w:eastAsia="宋体" w:cs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>90.17/100, Ranking</w:t>
            </w:r>
            <w:r>
              <w:rPr>
                <w:rFonts w:hint="eastAsia" w:ascii="Times New Roman" w:hAnsi="Times New Roman" w:eastAsia="宋体" w:cs="Times New Roman"/>
                <w:kern w:val="0"/>
                <w:sz w:val="22"/>
                <w:szCs w:val="22"/>
              </w:rPr>
              <w:t>:</w:t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 xml:space="preserve"> 8/232 (top 3.5%). </w:t>
            </w:r>
          </w:p>
          <w:p w14:paraId="7918D075">
            <w:pPr>
              <w:pStyle w:val="17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 xml:space="preserve">Honors: Outstanding Graduate and Outstanding Graduation Thesis in 2023 (top 10%), </w:t>
            </w:r>
            <w:bookmarkStart w:id="0" w:name="OLE_LINK4"/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instrText xml:space="preserve">HYPERLINK "https://junzheng.sjtu.edu.cn/general/cure"</w:instrText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fldChar w:fldCharType="separate"/>
            </w:r>
            <w:r>
              <w:rPr>
                <w:rStyle w:val="15"/>
                <w:rFonts w:ascii="Times New Roman" w:hAnsi="Times New Roman" w:eastAsia="宋体" w:cs="Times New Roman"/>
                <w:color w:val="auto"/>
                <w:kern w:val="0"/>
                <w:sz w:val="22"/>
                <w:szCs w:val="22"/>
              </w:rPr>
              <w:t>Hui-Chun Chin &amp; Tsung-Dao Lee Undergraduate Endowment</w:t>
            </w:r>
            <w:bookmarkEnd w:id="0"/>
            <w:r>
              <w:rPr>
                <w:rStyle w:val="15"/>
                <w:rFonts w:hint="eastAsia" w:ascii="Times New Roman" w:hAnsi="Times New Roman" w:eastAsia="宋体" w:cs="Times New Roman"/>
                <w:color w:val="auto"/>
                <w:kern w:val="0"/>
                <w:sz w:val="22"/>
                <w:szCs w:val="22"/>
              </w:rPr>
              <w:t xml:space="preserve"> </w:t>
            </w:r>
            <w:r>
              <w:rPr>
                <w:rStyle w:val="15"/>
                <w:rFonts w:ascii="Times New Roman" w:hAnsi="Times New Roman" w:eastAsia="宋体" w:cs="Times New Roman"/>
                <w:color w:val="auto"/>
                <w:kern w:val="0"/>
                <w:sz w:val="22"/>
                <w:szCs w:val="22"/>
              </w:rPr>
              <w:t>(CURE)</w:t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 xml:space="preserve"> in 2022 (a competitive research funding for students from 6 top Chinese universities, selected as the only award-wining project from CS department with a Transformer Model for Low-resource Tibetan-Chinese Machin</w:t>
            </w:r>
            <w:bookmarkStart w:id="3" w:name="_GoBack"/>
            <w:bookmarkEnd w:id="3"/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 xml:space="preserve">e Translation), and First Prize Scholarship in 2021 (top 5%). </w:t>
            </w:r>
          </w:p>
        </w:tc>
      </w:tr>
    </w:tbl>
    <w:p w14:paraId="45E4848E">
      <w:pPr>
        <w:pBdr>
          <w:bottom w:val="single" w:color="auto" w:sz="6" w:space="1"/>
        </w:pBdr>
        <w:spacing w:before="187" w:beforeLines="60"/>
        <w:jc w:val="left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PUBLICATION</w:t>
      </w:r>
    </w:p>
    <w:tbl>
      <w:tblPr>
        <w:tblStyle w:val="11"/>
        <w:tblW w:w="1062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8"/>
      </w:tblGrid>
      <w:tr w14:paraId="39A503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8" w:type="dxa"/>
            <w:tcBorders>
              <w:top w:val="nil"/>
              <w:left w:val="nil"/>
              <w:bottom w:val="nil"/>
              <w:right w:val="nil"/>
            </w:tcBorders>
          </w:tcPr>
          <w:p w14:paraId="4ED265EC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w w:val="91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w w:val="91"/>
                <w:sz w:val="22"/>
                <w:szCs w:val="22"/>
              </w:rPr>
              <w:t>S</w:t>
            </w:r>
            <w:r>
              <w:rPr>
                <w:rFonts w:hint="eastAsia" w:ascii="Times New Roman" w:hAnsi="Times New Roman" w:eastAsia="宋体" w:cs="Times New Roman"/>
                <w:b/>
                <w:bCs/>
                <w:w w:val="91"/>
                <w:sz w:val="22"/>
                <w:szCs w:val="22"/>
              </w:rPr>
              <w:t xml:space="preserve"> Gao</w:t>
            </w:r>
            <w:r>
              <w:rPr>
                <w:rFonts w:hint="eastAsia" w:ascii="Times New Roman" w:hAnsi="Times New Roman" w:eastAsia="宋体" w:cs="Times New Roman"/>
                <w:w w:val="91"/>
                <w:sz w:val="22"/>
                <w:szCs w:val="22"/>
              </w:rPr>
              <w:t xml:space="preserve">, H Chen, X Quan, Q Wang, L Huang. </w:t>
            </w:r>
            <w:r>
              <w:rPr>
                <w:rFonts w:ascii="Times New Roman" w:hAnsi="Times New Roman" w:eastAsia="宋体" w:cs="Times New Roman"/>
                <w:i/>
                <w:iCs/>
                <w:w w:val="91"/>
                <w:sz w:val="22"/>
                <w:szCs w:val="22"/>
              </w:rPr>
              <w:t>Unleashing Implicit Rewards:</w:t>
            </w:r>
            <w:r>
              <w:rPr>
                <w:rFonts w:hint="eastAsia" w:ascii="Times New Roman" w:hAnsi="Times New Roman" w:eastAsia="宋体" w:cs="Times New Roman"/>
                <w:i/>
                <w:iCs/>
                <w:w w:val="9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i/>
                <w:iCs/>
                <w:w w:val="91"/>
                <w:sz w:val="22"/>
                <w:szCs w:val="22"/>
              </w:rPr>
              <w:t>Prefix-Value Learning for Distribution-Level Optimization</w:t>
            </w:r>
            <w:r>
              <w:rPr>
                <w:rFonts w:hint="eastAsia" w:ascii="Times New Roman" w:hAnsi="Times New Roman" w:eastAsia="宋体" w:cs="Times New Roman"/>
                <w:w w:val="91"/>
                <w:sz w:val="22"/>
                <w:szCs w:val="22"/>
              </w:rPr>
              <w:t>. 43th</w:t>
            </w:r>
            <w:r>
              <w:rPr>
                <w:rFonts w:ascii="Times New Roman" w:hAnsi="Times New Roman" w:eastAsia="宋体" w:cs="Times New Roman"/>
                <w:w w:val="91"/>
                <w:sz w:val="22"/>
                <w:szCs w:val="22"/>
              </w:rPr>
              <w:t xml:space="preserve"> International Conference on Machine Learning</w:t>
            </w:r>
            <w:r>
              <w:rPr>
                <w:rFonts w:ascii="Times New Roman" w:hAnsi="Times New Roman" w:eastAsia="宋体" w:cs="Times New Roman"/>
                <w:i/>
                <w:iCs/>
                <w:w w:val="9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w w:val="91"/>
                <w:sz w:val="22"/>
                <w:szCs w:val="22"/>
              </w:rPr>
              <w:t>(</w:t>
            </w:r>
            <w:r>
              <w:rPr>
                <w:rFonts w:hint="eastAsia" w:ascii="Times New Roman" w:hAnsi="Times New Roman" w:eastAsia="宋体" w:cs="Times New Roman"/>
                <w:w w:val="91"/>
                <w:sz w:val="22"/>
                <w:szCs w:val="22"/>
              </w:rPr>
              <w:t>ICML2026</w:t>
            </w:r>
            <w:r>
              <w:rPr>
                <w:rFonts w:ascii="Times New Roman" w:hAnsi="Times New Roman" w:eastAsia="宋体" w:cs="Times New Roman"/>
                <w:w w:val="91"/>
                <w:sz w:val="22"/>
                <w:szCs w:val="22"/>
              </w:rPr>
              <w:t>)</w:t>
            </w:r>
          </w:p>
          <w:p w14:paraId="0FE6152B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H Chen, T Yang, Y Zhu,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>S Gao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, X Quan, T Yao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>Stabilizing Policy Optimization via Logits Convexity.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 Submitted to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the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 43th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International Conference on Machine Learning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(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ICML2026 Conference Submission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)</w:t>
            </w:r>
          </w:p>
          <w:p w14:paraId="323AD703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H Li, R Ni, H Yang,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>S Gao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, Y Liu, X Quan. 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>Adaptive Boundaries: Context-Aware Detection for Synthetic Text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 ACL 2026 Conference Submission</w:t>
            </w:r>
          </w:p>
          <w:p w14:paraId="10A30C0F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H Chen, T Yang,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S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Gao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, R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Chen, X Quan, H Tian, T Yao. 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>Discriminative Policy Optimization for Token-Level Reward Models.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42nd International Conference on Machine Learning (ICML2025 Poster)</w:t>
            </w:r>
          </w:p>
          <w:p w14:paraId="5A125E82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w w:val="9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C00000"/>
                <w:sz w:val="22"/>
                <w:szCs w:val="22"/>
              </w:rPr>
              <w:t>S Gao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, F Wan, J Guo, X Quan, Q Wang. 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Advantage-Guided Distillation for Preference Alignment in Small </w:t>
            </w:r>
            <w:r>
              <w:rPr>
                <w:rFonts w:ascii="Times New Roman" w:hAnsi="Times New Roman" w:eastAsia="宋体" w:cs="Times New Roman"/>
                <w:i/>
                <w:iCs/>
                <w:w w:val="95"/>
                <w:sz w:val="22"/>
                <w:szCs w:val="22"/>
              </w:rPr>
              <w:t>Language Models.</w:t>
            </w:r>
            <w:r>
              <w:rPr>
                <w:rFonts w:ascii="Times New Roman" w:hAnsi="Times New Roman" w:eastAsia="宋体" w:cs="Times New Roman"/>
                <w:w w:val="95"/>
                <w:sz w:val="22"/>
                <w:szCs w:val="22"/>
              </w:rPr>
              <w:t xml:space="preserve"> 13th International Conference on Learning Representations (</w:t>
            </w:r>
            <w:r>
              <w:rPr>
                <w:rFonts w:ascii="Times New Roman" w:hAnsi="Times New Roman" w:eastAsia="宋体" w:cs="Times New Roman"/>
                <w:b/>
                <w:bCs/>
                <w:color w:val="C00000"/>
                <w:w w:val="95"/>
                <w:sz w:val="22"/>
                <w:szCs w:val="22"/>
              </w:rPr>
              <w:t>ICLR2025 Spotlight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C00000"/>
                <w:w w:val="95"/>
                <w:sz w:val="22"/>
                <w:szCs w:val="22"/>
              </w:rPr>
              <w:t xml:space="preserve"> Top 5.1%</w:t>
            </w:r>
            <w:r>
              <w:rPr>
                <w:rFonts w:ascii="Times New Roman" w:hAnsi="Times New Roman" w:eastAsia="宋体" w:cs="Times New Roman"/>
                <w:w w:val="95"/>
                <w:sz w:val="22"/>
                <w:szCs w:val="22"/>
              </w:rPr>
              <w:t xml:space="preserve">) </w:t>
            </w:r>
          </w:p>
          <w:p w14:paraId="0DC090E0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w w:val="94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J Liang, H Yang,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S Gao,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X Quan. 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>Edit-Wise Preference Optimization for Grammatical Error Correction.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Proceedings of the 31st International Conference on Computational Linguistics (COLING2025 Main) </w:t>
            </w:r>
          </w:p>
          <w:p w14:paraId="2F828737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R Chen, J Liang,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S Gao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, F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Wan, X Quan.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Self-Evolution Fine-Tuning for Policy Optimization.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Findings of the Association for Computational Linguistics (EMNLP2024 Finding) </w:t>
            </w:r>
          </w:p>
          <w:p w14:paraId="199664C8">
            <w:pPr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S Gao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, D He, Z Zhang, X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Tang, Z Zhao. 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>A Novel Dynamic Interpolation Method based on both Temporal and Spatial Correlations.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Applied Intelligence. 2022. Springer (SCI JCR Q2) </w:t>
            </w:r>
          </w:p>
        </w:tc>
      </w:tr>
    </w:tbl>
    <w:p w14:paraId="2AC62291">
      <w:pPr>
        <w:pBdr>
          <w:bottom w:val="single" w:color="auto" w:sz="6" w:space="1"/>
        </w:pBdr>
        <w:spacing w:before="187" w:beforeLines="60"/>
        <w:jc w:val="left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RESEARCH EXPERIENCE</w:t>
      </w:r>
    </w:p>
    <w:tbl>
      <w:tblPr>
        <w:tblStyle w:val="2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0"/>
        <w:gridCol w:w="142"/>
        <w:gridCol w:w="2418"/>
      </w:tblGrid>
      <w:tr w14:paraId="57F78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080" w:type="dxa"/>
          </w:tcPr>
          <w:p w14:paraId="1939F4B7">
            <w:pPr>
              <w:rPr>
                <w:rFonts w:ascii="Times New Roman" w:hAnsi="Times New Roman" w:eastAsia="宋体" w:cs="Times New Roman"/>
                <w:b/>
                <w:bCs/>
                <w:w w:val="9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w w:val="90"/>
                <w:sz w:val="22"/>
                <w:szCs w:val="22"/>
              </w:rPr>
              <w:t>Unleashing Implicit Rewards:</w:t>
            </w:r>
            <w:r>
              <w:rPr>
                <w:rFonts w:hint="eastAsia" w:ascii="Times New Roman" w:hAnsi="Times New Roman" w:eastAsia="宋体" w:cs="Times New Roman"/>
                <w:b/>
                <w:bCs/>
                <w:w w:val="9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w w:val="90"/>
                <w:sz w:val="22"/>
                <w:szCs w:val="22"/>
              </w:rPr>
              <w:t>Prefix-Value Learning for Distribution-Level Optimization</w:t>
            </w:r>
            <w:r>
              <w:rPr>
                <w:rFonts w:hint="eastAsia" w:ascii="Times New Roman" w:hAnsi="Times New Roman" w:eastAsia="宋体" w:cs="Times New Roman"/>
                <w:b/>
                <w:bCs/>
                <w:w w:val="90"/>
                <w:sz w:val="22"/>
                <w:szCs w:val="22"/>
              </w:rPr>
              <w:t>.</w:t>
            </w:r>
          </w:p>
          <w:p w14:paraId="6F9EA896">
            <w:pP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Internship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, Supervised by Prof. Lifu Huang at </w:t>
            </w:r>
            <w:r>
              <w:rPr>
                <w:rFonts w:hint="eastAsia" w:ascii="Times New Roman" w:hAnsi="Times New Roman" w:eastAsia="宋体" w:cs="Times New Roman"/>
                <w:b/>
                <w:bCs/>
                <w:i/>
                <w:iCs/>
                <w:sz w:val="22"/>
                <w:szCs w:val="22"/>
              </w:rPr>
              <w:t>University</w:t>
            </w: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sz w:val="22"/>
                <w:szCs w:val="22"/>
              </w:rPr>
              <w:t xml:space="preserve"> of California, Davis</w:t>
            </w:r>
          </w:p>
        </w:tc>
        <w:tc>
          <w:tcPr>
            <w:tcW w:w="2560" w:type="dxa"/>
            <w:gridSpan w:val="2"/>
          </w:tcPr>
          <w:p w14:paraId="34B67D73">
            <w:pPr>
              <w:wordWrap w:val="0"/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Jul 2025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–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Dec 2025</w:t>
            </w:r>
          </w:p>
        </w:tc>
      </w:tr>
      <w:tr w14:paraId="74356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8" w:hRule="atLeast"/>
        </w:trPr>
        <w:tc>
          <w:tcPr>
            <w:tcW w:w="10640" w:type="dxa"/>
            <w:gridSpan w:val="3"/>
          </w:tcPr>
          <w:p w14:paraId="69625F59">
            <w:pPr>
              <w:numPr>
                <w:ilvl w:val="0"/>
                <w:numId w:val="3"/>
              </w:numPr>
              <w:spacing w:line="240" w:lineRule="atLeast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Developed an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Implicit Prefix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Value R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eward Model (IPVRM)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in a 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>value-function style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with supervision on every prefix, resolving the training–inference inconsistency of prior implicit PRMs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The resulting I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PV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RM preserves the efficiency of prior 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IM-RMs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while significantly improving the detection of erroneous reasoning steps in math tasks, enabling a 0.6B model to achieve performance comparable to other 7B 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PRMs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.</w:t>
            </w:r>
          </w:p>
          <w:p w14:paraId="1997EB95">
            <w:pPr>
              <w:numPr>
                <w:ilvl w:val="0"/>
                <w:numId w:val="3"/>
              </w:numPr>
              <w:spacing w:after="124" w:afterLines="40" w:line="240" w:lineRule="atLeast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Pioneered the incorporation of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distribution-level temporal-difference advantages into RL, 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enabling dense credit assignment for unsampled tokens. Combined with token-level GAE, this approach balanced long-horizon returns with efficiency, empirically demonstrating substantial improvements in RL convergence.</w:t>
            </w:r>
          </w:p>
        </w:tc>
      </w:tr>
      <w:tr w14:paraId="37460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080" w:type="dxa"/>
          </w:tcPr>
          <w:p w14:paraId="0AD7481D">
            <w:pP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Discriminative Policy Optimization for Token-Level Reward Models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(Q-RM)</w:t>
            </w:r>
          </w:p>
          <w:p w14:paraId="7E312AFB">
            <w:pP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Research Team Member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, Supervised by Prof.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Xiaojun Quan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at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Sun Yat-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>Sen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University</w:t>
            </w:r>
          </w:p>
        </w:tc>
        <w:tc>
          <w:tcPr>
            <w:tcW w:w="2560" w:type="dxa"/>
            <w:gridSpan w:val="2"/>
          </w:tcPr>
          <w:p w14:paraId="3F4AE528">
            <w:pPr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Oct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20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24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–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J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an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2025</w:t>
            </w:r>
          </w:p>
        </w:tc>
      </w:tr>
      <w:tr w14:paraId="4A0ED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7" w:hRule="atLeast"/>
        </w:trPr>
        <w:tc>
          <w:tcPr>
            <w:tcW w:w="10640" w:type="dxa"/>
            <w:gridSpan w:val="3"/>
          </w:tcPr>
          <w:p w14:paraId="5F275B5F">
            <w:pPr>
              <w:numPr>
                <w:ilvl w:val="0"/>
                <w:numId w:val="3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bookmarkStart w:id="1" w:name="OLE_LINK7"/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Designed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 Q-RM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, a novel token-level reward model that learns token-level rewards without fine-grained annotations by decoupling reward modeling from language modeling via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discriminative policy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, addressing instability in traditional token-level DPO-RM.</w:t>
            </w:r>
          </w:p>
          <w:p w14:paraId="45A659B6">
            <w:pPr>
              <w:numPr>
                <w:ilvl w:val="0"/>
                <w:numId w:val="3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Derived a token-level Q-function from a discriminative perspective, theoretically equivalent to the optimal Q-function; integrated Q-RM into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PPO/REINFORCE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, enabling direct computation of advantages from discriminative logits and reducing reliance on GAE.</w:t>
            </w:r>
          </w:p>
          <w:p w14:paraId="68E59195">
            <w:pPr>
              <w:numPr>
                <w:ilvl w:val="0"/>
                <w:numId w:val="3"/>
              </w:numPr>
              <w:spacing w:after="124" w:afterLines="40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Demonstrated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4–6 point Pass@1 improvements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on GSM8K and MATH reasoning tasks; achieved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12× faster convergence than ORM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and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11× faster than step-level PRM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; also outperformed ORM and PRM baselines in reading comprehension and instruction-following tasks</w:t>
            </w:r>
            <w:bookmarkEnd w:id="1"/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. </w:t>
            </w:r>
          </w:p>
        </w:tc>
      </w:tr>
      <w:tr w14:paraId="2B4C3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8080" w:type="dxa"/>
          </w:tcPr>
          <w:p w14:paraId="0B5A32DA">
            <w:pP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Advantage-Guided Distillation for Preference Alignment in Small Language Models</w:t>
            </w:r>
          </w:p>
          <w:p w14:paraId="1871ED19">
            <w:pP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Principal Investigator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, Supervised by Prof.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Xiaojun Quan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at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Sun Yat-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>Sen University</w:t>
            </w:r>
          </w:p>
        </w:tc>
        <w:tc>
          <w:tcPr>
            <w:tcW w:w="2560" w:type="dxa"/>
            <w:gridSpan w:val="2"/>
          </w:tcPr>
          <w:p w14:paraId="6DECAA40">
            <w:pPr>
              <w:jc w:val="right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Jul 2024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–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Oct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202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4</w:t>
            </w:r>
          </w:p>
        </w:tc>
      </w:tr>
      <w:tr w14:paraId="561B9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6" w:hRule="atLeast"/>
        </w:trPr>
        <w:tc>
          <w:tcPr>
            <w:tcW w:w="10640" w:type="dxa"/>
            <w:gridSpan w:val="3"/>
          </w:tcPr>
          <w:p w14:paraId="3C50450D">
            <w:pPr>
              <w:numPr>
                <w:ilvl w:val="0"/>
                <w:numId w:val="4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Designed Dual-Constrained Knowledge Distillation (DCKD), which applies KL-divergence constraints on both preferred and dispreferred responses, enabling richer transfer of alignment knowledge.</w:t>
            </w:r>
          </w:p>
          <w:p w14:paraId="6E75DCA9">
            <w:pPr>
              <w:numPr>
                <w:ilvl w:val="0"/>
                <w:numId w:val="4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Introduced Advantage-Guided Distillation for Preference Alignment (ADPA), leveraging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log-probability margins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between aligned and unaligned teacher 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LLMs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to provide distribution-level preference signals.</w:t>
            </w:r>
          </w:p>
          <w:p w14:paraId="3A9F3089">
            <w:pPr>
              <w:numPr>
                <w:ilvl w:val="0"/>
                <w:numId w:val="4"/>
              </w:num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Developed ADPA+, DCKD initialization followed by ADPA, achieving superior performance and stability.</w:t>
            </w:r>
          </w:p>
          <w:p w14:paraId="2DEF7300">
            <w:pPr>
              <w:numPr>
                <w:ilvl w:val="0"/>
                <w:numId w:val="4"/>
              </w:numPr>
              <w:spacing w:after="124" w:afterLines="40"/>
              <w:ind w:left="442" w:hanging="442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Demonstrated that ADPA/ADPA+ significantly improve alignment on MT-Bench, AlpacaEval, and the Open LLM Leaderboard, and small models trained with our methods on HelpSteer2 and DPO-MIX-7K matched or even surpassed large-model alignment baselines, while reducing sample complexity and stabilizing training.</w:t>
            </w:r>
          </w:p>
        </w:tc>
      </w:tr>
      <w:tr w14:paraId="3F877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8080" w:type="dxa"/>
          </w:tcPr>
          <w:p w14:paraId="013C6783">
            <w:pP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>Edit-Wise Preference Optimization for Grammatical Error Correction</w:t>
            </w:r>
          </w:p>
          <w:p w14:paraId="756F963E">
            <w:pPr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Research Team Member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, Supervised by Prof.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Xiaojun Quan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at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Sun Yat-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>Sen University</w:t>
            </w:r>
          </w:p>
        </w:tc>
        <w:tc>
          <w:tcPr>
            <w:tcW w:w="2560" w:type="dxa"/>
            <w:gridSpan w:val="2"/>
          </w:tcPr>
          <w:p w14:paraId="54E3BAF0">
            <w:pPr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Jul 2024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–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Sep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202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4</w:t>
            </w:r>
          </w:p>
        </w:tc>
      </w:tr>
      <w:tr w14:paraId="41604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4" w:hRule="atLeast"/>
        </w:trPr>
        <w:tc>
          <w:tcPr>
            <w:tcW w:w="10640" w:type="dxa"/>
            <w:gridSpan w:val="3"/>
          </w:tcPr>
          <w:p w14:paraId="4F9BE23E">
            <w:pPr>
              <w:pStyle w:val="22"/>
              <w:numPr>
                <w:ilvl w:val="0"/>
                <w:numId w:val="5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</w:pPr>
            <w:bookmarkStart w:id="2" w:name="OLE_LINK8"/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>Proposed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Edit-Wise Preference Optimization (EPO)</w:t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 xml:space="preserve"> for grammatical error correction, which incorporates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edit-aware token weighting</w:t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 xml:space="preserve"> by emphasizing tokens in edit spans and especially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pivot tokens</w:t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 xml:space="preserve"> (first token in each edit) as critical anchors for guiding subsequent corrections and reducing error accumulation.</w:t>
            </w:r>
          </w:p>
          <w:p w14:paraId="7D9E3E8E">
            <w:pPr>
              <w:pStyle w:val="22"/>
              <w:numPr>
                <w:ilvl w:val="0"/>
                <w:numId w:val="5"/>
              </w:numPr>
              <w:ind w:firstLineChars="0"/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>Developed an annotation-free preference data construction method by sampling negative sentences with large edit distances, enabling cost-effective training.</w:t>
            </w:r>
          </w:p>
          <w:p w14:paraId="50434FFC">
            <w:pPr>
              <w:pStyle w:val="22"/>
              <w:numPr>
                <w:ilvl w:val="0"/>
                <w:numId w:val="5"/>
              </w:numPr>
              <w:spacing w:after="124" w:afterLines="40"/>
              <w:ind w:left="442" w:hanging="442" w:firstLineChars="0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 xml:space="preserve">Achieved </w:t>
            </w:r>
            <w:r>
              <w:rPr>
                <w:rFonts w:hint="eastAsia" w:ascii="Times New Roman" w:hAnsi="Times New Roman" w:eastAsia="宋体" w:cs="Times New Roman"/>
                <w:kern w:val="0"/>
                <w:sz w:val="22"/>
                <w:szCs w:val="22"/>
              </w:rPr>
              <w:t xml:space="preserve">forefront </w:t>
            </w:r>
            <w:r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  <w:t>single-model performance on English and Chinese GEC benchmarks, surpassing supervised fine-tuning and Direct Preference Optimization, while mitigating overcorrection and improving robustness.</w:t>
            </w:r>
            <w:bookmarkEnd w:id="2"/>
          </w:p>
        </w:tc>
      </w:tr>
      <w:tr w14:paraId="51B62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8080" w:type="dxa"/>
          </w:tcPr>
          <w:p w14:paraId="3694BE9E">
            <w:pP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>Research on Chinese Text Correction System Based on Deep Learning</w:t>
            </w:r>
          </w:p>
        </w:tc>
        <w:tc>
          <w:tcPr>
            <w:tcW w:w="2560" w:type="dxa"/>
            <w:gridSpan w:val="2"/>
          </w:tcPr>
          <w:p w14:paraId="036195A2">
            <w:pPr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Dec 2022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–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May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202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3</w:t>
            </w:r>
          </w:p>
        </w:tc>
      </w:tr>
      <w:tr w14:paraId="112A4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10640" w:type="dxa"/>
            <w:gridSpan w:val="3"/>
          </w:tcPr>
          <w:p w14:paraId="2820E628">
            <w:pPr>
              <w:jc w:val="lef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Outstanding Undergraduate Thesis (top 10%)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, Supervised by Prof.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Binbin Yong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at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Lanzhou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University</w:t>
            </w:r>
          </w:p>
        </w:tc>
      </w:tr>
      <w:tr w14:paraId="44131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7" w:hRule="atLeast"/>
        </w:trPr>
        <w:tc>
          <w:tcPr>
            <w:tcW w:w="10640" w:type="dxa"/>
            <w:gridSpan w:val="3"/>
          </w:tcPr>
          <w:p w14:paraId="472AD659">
            <w:pPr>
              <w:pStyle w:val="22"/>
              <w:numPr>
                <w:ilvl w:val="0"/>
                <w:numId w:val="6"/>
              </w:numPr>
              <w:ind w:firstLineChars="0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Designed a comprehensive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Chinese text correction system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covering spelling, grammar, and semantic errors.</w:t>
            </w:r>
          </w:p>
          <w:p w14:paraId="6B33FA38">
            <w:pPr>
              <w:pStyle w:val="22"/>
              <w:numPr>
                <w:ilvl w:val="0"/>
                <w:numId w:val="6"/>
              </w:numPr>
              <w:spacing w:after="124" w:afterLines="40"/>
              <w:ind w:left="442" w:hanging="442" w:firstLineChars="0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Proposed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AutoCscError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, a novel pseudo-data generation and augmentation method that predicts likely human spelling errors using shape/phonetic similarity enhanced by IDS encoding, significantly improving zero-shot and fine-tuned performance across multiple benchmarks by producing more realistic pseudo-data. </w:t>
            </w:r>
          </w:p>
        </w:tc>
      </w:tr>
      <w:tr w14:paraId="1C4BD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8222" w:type="dxa"/>
            <w:gridSpan w:val="2"/>
          </w:tcPr>
          <w:p w14:paraId="01612327">
            <w:pP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A Novel Dynamic Interpolation Method based on Temporal and Spatial Correlations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Research Team Member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, Supervised by Prof.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>Zhili Zhao</w:t>
            </w:r>
            <w:r>
              <w:rPr>
                <w:rFonts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at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2"/>
                <w:szCs w:val="22"/>
              </w:rPr>
              <w:t xml:space="preserve"> Lanzhou University</w:t>
            </w:r>
          </w:p>
        </w:tc>
        <w:tc>
          <w:tcPr>
            <w:tcW w:w="2418" w:type="dxa"/>
          </w:tcPr>
          <w:p w14:paraId="068E4DD0">
            <w:pPr>
              <w:jc w:val="righ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May 2021 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–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Oct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 xml:space="preserve"> 202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1</w:t>
            </w:r>
          </w:p>
        </w:tc>
      </w:tr>
      <w:tr w14:paraId="35133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0640" w:type="dxa"/>
            <w:gridSpan w:val="3"/>
          </w:tcPr>
          <w:p w14:paraId="7A0BE313">
            <w:pPr>
              <w:pStyle w:val="22"/>
              <w:numPr>
                <w:ilvl w:val="0"/>
                <w:numId w:val="7"/>
              </w:numPr>
              <w:ind w:firstLineChars="0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Proposed a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Dynamic Spatiotemporal Interpolation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 method for environmental and meteorological monitoring, which adaptively weights temporal and spatial correlations for more accurate missing data recovery.</w:t>
            </w:r>
          </w:p>
        </w:tc>
      </w:tr>
    </w:tbl>
    <w:p w14:paraId="358EE665">
      <w:pPr>
        <w:pBdr>
          <w:bottom w:val="single" w:color="auto" w:sz="6" w:space="1"/>
        </w:pBdr>
        <w:spacing w:before="187" w:beforeLines="60"/>
        <w:jc w:val="left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TEACHING EXPERIENCE</w:t>
      </w:r>
    </w:p>
    <w:tbl>
      <w:tblPr>
        <w:tblStyle w:val="11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3"/>
        <w:gridCol w:w="2917"/>
      </w:tblGrid>
      <w:tr w14:paraId="333A8D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14:paraId="46297A32">
            <w:pPr>
              <w:rPr>
                <w:rFonts w:ascii="Times New Roman" w:hAnsi="Times New Roman" w:eastAsia="宋体" w:cs="Times New Roman"/>
                <w:bCs/>
                <w:i/>
                <w:i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2"/>
                <w:szCs w:val="22"/>
                <w:lang w:bidi="en-US"/>
              </w:rPr>
              <w:t>Sun Yat-Sen University</w:t>
            </w:r>
            <w:r>
              <w:rPr>
                <w:rFonts w:ascii="Times New Roman" w:hAnsi="Times New Roman" w:eastAsia="宋体" w:cs="Times New Roman"/>
                <w:b/>
                <w:sz w:val="22"/>
                <w:szCs w:val="22"/>
                <w:lang w:bidi="en-US"/>
              </w:rPr>
              <w:t xml:space="preserve">, </w:t>
            </w:r>
            <w:r>
              <w:rPr>
                <w:rFonts w:ascii="Times New Roman" w:hAnsi="Times New Roman" w:eastAsia="宋体" w:cs="Times New Roman"/>
                <w:bCs/>
                <w:i/>
                <w:iCs/>
                <w:sz w:val="22"/>
                <w:szCs w:val="22"/>
                <w:lang w:bidi="en-US"/>
              </w:rPr>
              <w:t>Teaching Assistant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</w:tcPr>
          <w:p w14:paraId="4041B145">
            <w:pPr>
              <w:jc w:val="right"/>
              <w:rPr>
                <w:rFonts w:ascii="Times New Roman" w:hAnsi="Times New Roman" w:eastAsia="宋体" w:cs="Times New Roman"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Apr 2025 – Present</w:t>
            </w:r>
          </w:p>
        </w:tc>
      </w:tr>
      <w:tr w14:paraId="5CE81B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04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03B94A">
            <w:pPr>
              <w:pStyle w:val="22"/>
              <w:numPr>
                <w:ilvl w:val="0"/>
                <w:numId w:val="3"/>
              </w:numPr>
              <w:ind w:firstLineChars="0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Assisted undergraduates in Artificial Neural Networks. Instructed Mathematical Principles of RL for graduates. </w:t>
            </w:r>
          </w:p>
        </w:tc>
      </w:tr>
    </w:tbl>
    <w:p w14:paraId="37060457">
      <w:pPr>
        <w:pBdr>
          <w:bottom w:val="single" w:color="auto" w:sz="6" w:space="1"/>
        </w:pBdr>
        <w:spacing w:before="187" w:beforeLines="60"/>
        <w:jc w:val="left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TECHNICAL SKILLS</w:t>
      </w:r>
    </w:p>
    <w:tbl>
      <w:tblPr>
        <w:tblStyle w:val="11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7736"/>
      </w:tblGrid>
      <w:tr w14:paraId="7964B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9E6CA0E">
            <w:pPr>
              <w:pStyle w:val="19"/>
              <w:ind w:firstLine="0" w:firstLineChars="0"/>
              <w:rPr>
                <w:rFonts w:ascii="Times New Roman" w:hAnsi="Times New Roman" w:eastAsia="宋体" w:cs="Times New Roman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</w:rPr>
              <w:t>Languages</w:t>
            </w:r>
          </w:p>
        </w:tc>
        <w:tc>
          <w:tcPr>
            <w:tcW w:w="7736" w:type="dxa"/>
            <w:tcBorders>
              <w:top w:val="nil"/>
              <w:left w:val="nil"/>
              <w:bottom w:val="nil"/>
              <w:right w:val="nil"/>
            </w:tcBorders>
          </w:tcPr>
          <w:p w14:paraId="25E265B6">
            <w:pPr>
              <w:jc w:val="left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Python, C++, Java, Bash, LaTeX, SQL</w:t>
            </w:r>
          </w:p>
        </w:tc>
      </w:tr>
      <w:tr w14:paraId="611A54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49994505">
            <w:pPr>
              <w:pStyle w:val="19"/>
              <w:ind w:firstLine="0" w:firstLineChars="0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</w:rPr>
              <w:t>Frameworks &amp; Libraries</w:t>
            </w:r>
          </w:p>
        </w:tc>
        <w:tc>
          <w:tcPr>
            <w:tcW w:w="7736" w:type="dxa"/>
            <w:tcBorders>
              <w:top w:val="nil"/>
              <w:left w:val="nil"/>
              <w:bottom w:val="nil"/>
              <w:right w:val="nil"/>
            </w:tcBorders>
          </w:tcPr>
          <w:p w14:paraId="17F9B17A">
            <w:pPr>
              <w:jc w:val="left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Transformers, Ray, VeRL, LLaMA-Factory, Datasets, Accelerate, DeepSpeed, vLLM</w:t>
            </w:r>
          </w:p>
        </w:tc>
      </w:tr>
      <w:tr w14:paraId="3E6F1C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4BA6BF6B">
            <w:pPr>
              <w:pStyle w:val="19"/>
              <w:ind w:firstLine="0" w:firstLineChars="0"/>
              <w:rPr>
                <w:rFonts w:ascii="Times New Roman" w:hAnsi="Times New Roman" w:eastAsia="宋体" w:cs="Times New Roman"/>
                <w:b/>
                <w:bCs/>
                <w:w w:val="9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</w:rPr>
              <w:t>Tools &amp; Platforms</w:t>
            </w:r>
          </w:p>
        </w:tc>
        <w:tc>
          <w:tcPr>
            <w:tcW w:w="7736" w:type="dxa"/>
            <w:tcBorders>
              <w:top w:val="nil"/>
              <w:left w:val="nil"/>
              <w:bottom w:val="nil"/>
              <w:right w:val="nil"/>
            </w:tcBorders>
          </w:tcPr>
          <w:p w14:paraId="570A3A65">
            <w:pPr>
              <w:pStyle w:val="19"/>
              <w:ind w:firstLine="0" w:firstLineChars="0"/>
              <w:jc w:val="left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Git, Docker, Weights &amp; Biases,</w:t>
            </w:r>
            <w:r>
              <w:rPr>
                <w:rFonts w:hint="eastAsia" w:ascii="Times New Roman" w:hAnsi="Times New Roman" w:eastAsia="宋体" w:cs="Times New Roman"/>
                <w:sz w:val="22"/>
              </w:rPr>
              <w:t xml:space="preserve"> SwanLab,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TensorBoard, Slurm, CUDA</w:t>
            </w:r>
          </w:p>
        </w:tc>
      </w:tr>
    </w:tbl>
    <w:p w14:paraId="1C880085">
      <w:pPr>
        <w:jc w:val="left"/>
        <w:rPr>
          <w:rFonts w:hint="eastAsia" w:ascii="Times New Roman" w:hAnsi="Times New Roman" w:eastAsia="宋体" w:cs="Times New Roman"/>
          <w:i/>
          <w:iCs/>
          <w:szCs w:val="21"/>
        </w:rPr>
      </w:pPr>
    </w:p>
    <w:sectPr>
      <w:pgSz w:w="11900" w:h="16840"/>
      <w:pgMar w:top="680" w:right="720" w:bottom="68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-Regular">
    <w:altName w:val="Wingdings 3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E5E39"/>
    <w:multiLevelType w:val="multilevel"/>
    <w:tmpl w:val="01DE5E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>
    <w:nsid w:val="1B4C799E"/>
    <w:multiLevelType w:val="multilevel"/>
    <w:tmpl w:val="1B4C799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2133608C"/>
    <w:multiLevelType w:val="multilevel"/>
    <w:tmpl w:val="2133608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24E1083C"/>
    <w:multiLevelType w:val="multilevel"/>
    <w:tmpl w:val="24E108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D77156E"/>
    <w:multiLevelType w:val="multilevel"/>
    <w:tmpl w:val="4D77156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8551C4"/>
    <w:multiLevelType w:val="multilevel"/>
    <w:tmpl w:val="578551C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5EDB43A3"/>
    <w:multiLevelType w:val="multilevel"/>
    <w:tmpl w:val="5EDB43A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253"/>
    <w:rsid w:val="000079CB"/>
    <w:rsid w:val="00012A3C"/>
    <w:rsid w:val="0001524B"/>
    <w:rsid w:val="00015CEA"/>
    <w:rsid w:val="00021D4B"/>
    <w:rsid w:val="000311E5"/>
    <w:rsid w:val="000320D4"/>
    <w:rsid w:val="000373DC"/>
    <w:rsid w:val="00040F2A"/>
    <w:rsid w:val="000622FB"/>
    <w:rsid w:val="00062DC4"/>
    <w:rsid w:val="00076481"/>
    <w:rsid w:val="00084AF6"/>
    <w:rsid w:val="00095F60"/>
    <w:rsid w:val="000A0368"/>
    <w:rsid w:val="000A0D24"/>
    <w:rsid w:val="000B008A"/>
    <w:rsid w:val="000C0599"/>
    <w:rsid w:val="000C780D"/>
    <w:rsid w:val="000D09C9"/>
    <w:rsid w:val="000D5253"/>
    <w:rsid w:val="000D6320"/>
    <w:rsid w:val="000E482D"/>
    <w:rsid w:val="00105E94"/>
    <w:rsid w:val="00107E9B"/>
    <w:rsid w:val="00117EF4"/>
    <w:rsid w:val="00120C61"/>
    <w:rsid w:val="00121BFE"/>
    <w:rsid w:val="00122937"/>
    <w:rsid w:val="00124833"/>
    <w:rsid w:val="0012784C"/>
    <w:rsid w:val="0012790A"/>
    <w:rsid w:val="0013453B"/>
    <w:rsid w:val="00135D02"/>
    <w:rsid w:val="001410D9"/>
    <w:rsid w:val="00160F9B"/>
    <w:rsid w:val="0016362C"/>
    <w:rsid w:val="0017030A"/>
    <w:rsid w:val="00171ED1"/>
    <w:rsid w:val="001773AA"/>
    <w:rsid w:val="0018247C"/>
    <w:rsid w:val="00185F93"/>
    <w:rsid w:val="00187A8E"/>
    <w:rsid w:val="001A2EB3"/>
    <w:rsid w:val="001C2216"/>
    <w:rsid w:val="001D6C22"/>
    <w:rsid w:val="001E1DD4"/>
    <w:rsid w:val="001E5C98"/>
    <w:rsid w:val="001E7869"/>
    <w:rsid w:val="001E78C1"/>
    <w:rsid w:val="001F242B"/>
    <w:rsid w:val="001F369F"/>
    <w:rsid w:val="001F63D5"/>
    <w:rsid w:val="00205FD7"/>
    <w:rsid w:val="002161C1"/>
    <w:rsid w:val="00223958"/>
    <w:rsid w:val="00230E5E"/>
    <w:rsid w:val="002329C6"/>
    <w:rsid w:val="00241214"/>
    <w:rsid w:val="00242105"/>
    <w:rsid w:val="00242D9B"/>
    <w:rsid w:val="002447EB"/>
    <w:rsid w:val="00255DF4"/>
    <w:rsid w:val="002642E6"/>
    <w:rsid w:val="00275114"/>
    <w:rsid w:val="00280608"/>
    <w:rsid w:val="00285C19"/>
    <w:rsid w:val="00292B0A"/>
    <w:rsid w:val="00295B62"/>
    <w:rsid w:val="00296292"/>
    <w:rsid w:val="0029764C"/>
    <w:rsid w:val="002A0AAE"/>
    <w:rsid w:val="002A3B3A"/>
    <w:rsid w:val="002A436A"/>
    <w:rsid w:val="002A6B53"/>
    <w:rsid w:val="002B1A62"/>
    <w:rsid w:val="002B205F"/>
    <w:rsid w:val="002B267B"/>
    <w:rsid w:val="002C2BF2"/>
    <w:rsid w:val="002C5E41"/>
    <w:rsid w:val="002C605B"/>
    <w:rsid w:val="002C7D5A"/>
    <w:rsid w:val="002D041F"/>
    <w:rsid w:val="002D353C"/>
    <w:rsid w:val="002D6EF2"/>
    <w:rsid w:val="002E308F"/>
    <w:rsid w:val="002E724B"/>
    <w:rsid w:val="002E728F"/>
    <w:rsid w:val="002F7B8D"/>
    <w:rsid w:val="00302D23"/>
    <w:rsid w:val="003043E1"/>
    <w:rsid w:val="003115CB"/>
    <w:rsid w:val="00314E46"/>
    <w:rsid w:val="00315A96"/>
    <w:rsid w:val="003412AD"/>
    <w:rsid w:val="00362577"/>
    <w:rsid w:val="00370667"/>
    <w:rsid w:val="00394B06"/>
    <w:rsid w:val="003B4193"/>
    <w:rsid w:val="003B6B69"/>
    <w:rsid w:val="003C089F"/>
    <w:rsid w:val="003C53D7"/>
    <w:rsid w:val="003D636F"/>
    <w:rsid w:val="003E354E"/>
    <w:rsid w:val="003F181F"/>
    <w:rsid w:val="003F38D7"/>
    <w:rsid w:val="00410F81"/>
    <w:rsid w:val="0041290B"/>
    <w:rsid w:val="004158FD"/>
    <w:rsid w:val="00416277"/>
    <w:rsid w:val="00423E48"/>
    <w:rsid w:val="00424EC3"/>
    <w:rsid w:val="004274D4"/>
    <w:rsid w:val="00432D44"/>
    <w:rsid w:val="00436EF0"/>
    <w:rsid w:val="0044273E"/>
    <w:rsid w:val="00462C0D"/>
    <w:rsid w:val="00463B60"/>
    <w:rsid w:val="00471F14"/>
    <w:rsid w:val="004929A5"/>
    <w:rsid w:val="004A36F8"/>
    <w:rsid w:val="004B036A"/>
    <w:rsid w:val="004B7E5D"/>
    <w:rsid w:val="004D1DCE"/>
    <w:rsid w:val="004D4C70"/>
    <w:rsid w:val="004D7CE7"/>
    <w:rsid w:val="004E438C"/>
    <w:rsid w:val="004F15B2"/>
    <w:rsid w:val="00500460"/>
    <w:rsid w:val="00505366"/>
    <w:rsid w:val="00512D5D"/>
    <w:rsid w:val="005142B9"/>
    <w:rsid w:val="00540664"/>
    <w:rsid w:val="00543EC8"/>
    <w:rsid w:val="00553AC4"/>
    <w:rsid w:val="00554429"/>
    <w:rsid w:val="00571D8C"/>
    <w:rsid w:val="00572A3D"/>
    <w:rsid w:val="005752D3"/>
    <w:rsid w:val="005823B7"/>
    <w:rsid w:val="00592086"/>
    <w:rsid w:val="005A368D"/>
    <w:rsid w:val="005B487A"/>
    <w:rsid w:val="005C09AE"/>
    <w:rsid w:val="005C0EC3"/>
    <w:rsid w:val="005D028B"/>
    <w:rsid w:val="005D1AE3"/>
    <w:rsid w:val="005E54C5"/>
    <w:rsid w:val="005F0B44"/>
    <w:rsid w:val="005F39A9"/>
    <w:rsid w:val="00611A9B"/>
    <w:rsid w:val="00611C6B"/>
    <w:rsid w:val="00624311"/>
    <w:rsid w:val="0062449E"/>
    <w:rsid w:val="00625026"/>
    <w:rsid w:val="00631128"/>
    <w:rsid w:val="006311FB"/>
    <w:rsid w:val="00633C63"/>
    <w:rsid w:val="00641CEE"/>
    <w:rsid w:val="00646C59"/>
    <w:rsid w:val="00652D58"/>
    <w:rsid w:val="006569B1"/>
    <w:rsid w:val="00664B57"/>
    <w:rsid w:val="0066535C"/>
    <w:rsid w:val="00666DD3"/>
    <w:rsid w:val="00676B69"/>
    <w:rsid w:val="00677B86"/>
    <w:rsid w:val="0068041F"/>
    <w:rsid w:val="00683B9A"/>
    <w:rsid w:val="0068556E"/>
    <w:rsid w:val="006936C4"/>
    <w:rsid w:val="00693904"/>
    <w:rsid w:val="0069448B"/>
    <w:rsid w:val="00695735"/>
    <w:rsid w:val="00695763"/>
    <w:rsid w:val="006A089B"/>
    <w:rsid w:val="006A14BE"/>
    <w:rsid w:val="006A4285"/>
    <w:rsid w:val="006B4D53"/>
    <w:rsid w:val="006B6F28"/>
    <w:rsid w:val="006B7294"/>
    <w:rsid w:val="006D006F"/>
    <w:rsid w:val="006D7268"/>
    <w:rsid w:val="006E11B2"/>
    <w:rsid w:val="006E7955"/>
    <w:rsid w:val="006F4A03"/>
    <w:rsid w:val="007036C2"/>
    <w:rsid w:val="007038F4"/>
    <w:rsid w:val="00707A64"/>
    <w:rsid w:val="00712AAC"/>
    <w:rsid w:val="00724F24"/>
    <w:rsid w:val="0072622F"/>
    <w:rsid w:val="00730879"/>
    <w:rsid w:val="00734953"/>
    <w:rsid w:val="007470C2"/>
    <w:rsid w:val="00761A7E"/>
    <w:rsid w:val="00765C6D"/>
    <w:rsid w:val="007715EC"/>
    <w:rsid w:val="007727CE"/>
    <w:rsid w:val="00777EB3"/>
    <w:rsid w:val="007905C0"/>
    <w:rsid w:val="00796088"/>
    <w:rsid w:val="007A006A"/>
    <w:rsid w:val="007A392E"/>
    <w:rsid w:val="007A4094"/>
    <w:rsid w:val="007B54B3"/>
    <w:rsid w:val="007B5B52"/>
    <w:rsid w:val="007C6549"/>
    <w:rsid w:val="007D1E52"/>
    <w:rsid w:val="007D3573"/>
    <w:rsid w:val="007D6015"/>
    <w:rsid w:val="007E30E8"/>
    <w:rsid w:val="007E3C85"/>
    <w:rsid w:val="007E5B0B"/>
    <w:rsid w:val="007E65C2"/>
    <w:rsid w:val="0080716D"/>
    <w:rsid w:val="008160DF"/>
    <w:rsid w:val="00822142"/>
    <w:rsid w:val="00836E1F"/>
    <w:rsid w:val="00842AA2"/>
    <w:rsid w:val="00846A58"/>
    <w:rsid w:val="00855FAD"/>
    <w:rsid w:val="008566DC"/>
    <w:rsid w:val="008600FE"/>
    <w:rsid w:val="0086789C"/>
    <w:rsid w:val="008727C7"/>
    <w:rsid w:val="00874C0D"/>
    <w:rsid w:val="0088151E"/>
    <w:rsid w:val="008817F5"/>
    <w:rsid w:val="00891143"/>
    <w:rsid w:val="00893348"/>
    <w:rsid w:val="00896989"/>
    <w:rsid w:val="008A0912"/>
    <w:rsid w:val="008B0141"/>
    <w:rsid w:val="008B1258"/>
    <w:rsid w:val="008B2FCC"/>
    <w:rsid w:val="008D7A90"/>
    <w:rsid w:val="008F0A46"/>
    <w:rsid w:val="008F73AA"/>
    <w:rsid w:val="00902FD8"/>
    <w:rsid w:val="00904C30"/>
    <w:rsid w:val="00905ED2"/>
    <w:rsid w:val="0091172E"/>
    <w:rsid w:val="009129A7"/>
    <w:rsid w:val="00913D28"/>
    <w:rsid w:val="00926F6A"/>
    <w:rsid w:val="00944520"/>
    <w:rsid w:val="009470AC"/>
    <w:rsid w:val="009472F9"/>
    <w:rsid w:val="009532AC"/>
    <w:rsid w:val="00956DB4"/>
    <w:rsid w:val="00960E35"/>
    <w:rsid w:val="0096766B"/>
    <w:rsid w:val="009748C3"/>
    <w:rsid w:val="009806F8"/>
    <w:rsid w:val="00983700"/>
    <w:rsid w:val="009855FA"/>
    <w:rsid w:val="0099272D"/>
    <w:rsid w:val="00993CBA"/>
    <w:rsid w:val="00997AC2"/>
    <w:rsid w:val="009A0B58"/>
    <w:rsid w:val="009A3368"/>
    <w:rsid w:val="009B151A"/>
    <w:rsid w:val="009B67A6"/>
    <w:rsid w:val="009B7E54"/>
    <w:rsid w:val="009C0AD4"/>
    <w:rsid w:val="009C1A7C"/>
    <w:rsid w:val="009C2BC5"/>
    <w:rsid w:val="009D14DD"/>
    <w:rsid w:val="009D2860"/>
    <w:rsid w:val="009D2A38"/>
    <w:rsid w:val="009E3E27"/>
    <w:rsid w:val="009F5D96"/>
    <w:rsid w:val="009F7322"/>
    <w:rsid w:val="00A13FC7"/>
    <w:rsid w:val="00A13FCA"/>
    <w:rsid w:val="00A206BD"/>
    <w:rsid w:val="00A25619"/>
    <w:rsid w:val="00A5194D"/>
    <w:rsid w:val="00A559B2"/>
    <w:rsid w:val="00A62715"/>
    <w:rsid w:val="00A65EF4"/>
    <w:rsid w:val="00A67DE7"/>
    <w:rsid w:val="00A70172"/>
    <w:rsid w:val="00A7426A"/>
    <w:rsid w:val="00A75ED1"/>
    <w:rsid w:val="00A7710D"/>
    <w:rsid w:val="00A77FCB"/>
    <w:rsid w:val="00A807BE"/>
    <w:rsid w:val="00A85331"/>
    <w:rsid w:val="00A87F36"/>
    <w:rsid w:val="00A92D6D"/>
    <w:rsid w:val="00A93860"/>
    <w:rsid w:val="00A97FBC"/>
    <w:rsid w:val="00AA2179"/>
    <w:rsid w:val="00AA5626"/>
    <w:rsid w:val="00AA7EAD"/>
    <w:rsid w:val="00AB498D"/>
    <w:rsid w:val="00AC2041"/>
    <w:rsid w:val="00AC71F9"/>
    <w:rsid w:val="00AD136B"/>
    <w:rsid w:val="00AD30E3"/>
    <w:rsid w:val="00AD34DA"/>
    <w:rsid w:val="00AE108E"/>
    <w:rsid w:val="00AF0DA9"/>
    <w:rsid w:val="00AF3755"/>
    <w:rsid w:val="00AF784B"/>
    <w:rsid w:val="00B01071"/>
    <w:rsid w:val="00B224A1"/>
    <w:rsid w:val="00B41565"/>
    <w:rsid w:val="00B416E2"/>
    <w:rsid w:val="00B4547A"/>
    <w:rsid w:val="00B50BA3"/>
    <w:rsid w:val="00B50D0B"/>
    <w:rsid w:val="00B53059"/>
    <w:rsid w:val="00B5345D"/>
    <w:rsid w:val="00B5367B"/>
    <w:rsid w:val="00B5724B"/>
    <w:rsid w:val="00B60E2A"/>
    <w:rsid w:val="00B60EE5"/>
    <w:rsid w:val="00B736CB"/>
    <w:rsid w:val="00B73BB1"/>
    <w:rsid w:val="00B81D02"/>
    <w:rsid w:val="00B91DAE"/>
    <w:rsid w:val="00B96215"/>
    <w:rsid w:val="00BB03FB"/>
    <w:rsid w:val="00BB210B"/>
    <w:rsid w:val="00BC0E0C"/>
    <w:rsid w:val="00BD4F3B"/>
    <w:rsid w:val="00BD74AC"/>
    <w:rsid w:val="00BE2A16"/>
    <w:rsid w:val="00BE4A7E"/>
    <w:rsid w:val="00C003FC"/>
    <w:rsid w:val="00C06F71"/>
    <w:rsid w:val="00C10369"/>
    <w:rsid w:val="00C11B7B"/>
    <w:rsid w:val="00C1362C"/>
    <w:rsid w:val="00C14152"/>
    <w:rsid w:val="00C20ABE"/>
    <w:rsid w:val="00C22685"/>
    <w:rsid w:val="00C33A1E"/>
    <w:rsid w:val="00C346F2"/>
    <w:rsid w:val="00C347F8"/>
    <w:rsid w:val="00C51E41"/>
    <w:rsid w:val="00CB0151"/>
    <w:rsid w:val="00CB2030"/>
    <w:rsid w:val="00CC4BB5"/>
    <w:rsid w:val="00CD73E6"/>
    <w:rsid w:val="00CE61E6"/>
    <w:rsid w:val="00CF0698"/>
    <w:rsid w:val="00CF22FE"/>
    <w:rsid w:val="00CF3DF9"/>
    <w:rsid w:val="00D0149D"/>
    <w:rsid w:val="00D06270"/>
    <w:rsid w:val="00D30D31"/>
    <w:rsid w:val="00D320D3"/>
    <w:rsid w:val="00D3723B"/>
    <w:rsid w:val="00D37D4D"/>
    <w:rsid w:val="00D500E2"/>
    <w:rsid w:val="00D5179B"/>
    <w:rsid w:val="00D61343"/>
    <w:rsid w:val="00D65005"/>
    <w:rsid w:val="00D65F19"/>
    <w:rsid w:val="00D771DA"/>
    <w:rsid w:val="00D82010"/>
    <w:rsid w:val="00D8425D"/>
    <w:rsid w:val="00D8630A"/>
    <w:rsid w:val="00DA50BC"/>
    <w:rsid w:val="00DB37A1"/>
    <w:rsid w:val="00DC59C7"/>
    <w:rsid w:val="00DE5305"/>
    <w:rsid w:val="00DE58F2"/>
    <w:rsid w:val="00DF5177"/>
    <w:rsid w:val="00E0252E"/>
    <w:rsid w:val="00E03B31"/>
    <w:rsid w:val="00E44294"/>
    <w:rsid w:val="00E46125"/>
    <w:rsid w:val="00E5099B"/>
    <w:rsid w:val="00E57939"/>
    <w:rsid w:val="00E62F25"/>
    <w:rsid w:val="00E65A35"/>
    <w:rsid w:val="00E72EEF"/>
    <w:rsid w:val="00E74B14"/>
    <w:rsid w:val="00E75863"/>
    <w:rsid w:val="00E80203"/>
    <w:rsid w:val="00E80D16"/>
    <w:rsid w:val="00E837E7"/>
    <w:rsid w:val="00EA1657"/>
    <w:rsid w:val="00EA4689"/>
    <w:rsid w:val="00EB0C5F"/>
    <w:rsid w:val="00EC6ABD"/>
    <w:rsid w:val="00ED2A1B"/>
    <w:rsid w:val="00ED41B5"/>
    <w:rsid w:val="00ED6852"/>
    <w:rsid w:val="00EF3825"/>
    <w:rsid w:val="00F00EBB"/>
    <w:rsid w:val="00F05C48"/>
    <w:rsid w:val="00F117EB"/>
    <w:rsid w:val="00F15CD1"/>
    <w:rsid w:val="00F22F47"/>
    <w:rsid w:val="00F23592"/>
    <w:rsid w:val="00F327EA"/>
    <w:rsid w:val="00F45FEF"/>
    <w:rsid w:val="00F476E4"/>
    <w:rsid w:val="00F53885"/>
    <w:rsid w:val="00F53920"/>
    <w:rsid w:val="00F5770B"/>
    <w:rsid w:val="00F63099"/>
    <w:rsid w:val="00F70591"/>
    <w:rsid w:val="00F72825"/>
    <w:rsid w:val="00F874F2"/>
    <w:rsid w:val="00F93A70"/>
    <w:rsid w:val="00F93CCC"/>
    <w:rsid w:val="00F963EF"/>
    <w:rsid w:val="00FB30B8"/>
    <w:rsid w:val="00FB58C1"/>
    <w:rsid w:val="00FB7818"/>
    <w:rsid w:val="00FC1B15"/>
    <w:rsid w:val="00FC21BA"/>
    <w:rsid w:val="00FC30AD"/>
    <w:rsid w:val="00FC3CF5"/>
    <w:rsid w:val="00FD1FEE"/>
    <w:rsid w:val="00FD20C5"/>
    <w:rsid w:val="00FD4E8B"/>
    <w:rsid w:val="00FD5F1F"/>
    <w:rsid w:val="00FD68AC"/>
    <w:rsid w:val="00FE57A6"/>
    <w:rsid w:val="09A7304E"/>
    <w:rsid w:val="0D974E8F"/>
    <w:rsid w:val="1BCD48DA"/>
    <w:rsid w:val="23F6434B"/>
    <w:rsid w:val="310A067B"/>
    <w:rsid w:val="34C033B5"/>
    <w:rsid w:val="36F06402"/>
    <w:rsid w:val="4BFFB021"/>
    <w:rsid w:val="5DBA4BBD"/>
    <w:rsid w:val="63CC44D3"/>
    <w:rsid w:val="64430747"/>
    <w:rsid w:val="6DDF9FC9"/>
    <w:rsid w:val="7A215C68"/>
    <w:rsid w:val="7BBA4EA2"/>
    <w:rsid w:val="7D76A773"/>
    <w:rsid w:val="7F043520"/>
    <w:rsid w:val="7F7771A2"/>
    <w:rsid w:val="7F960F4B"/>
    <w:rsid w:val="AD820E0D"/>
    <w:rsid w:val="BCF311AE"/>
    <w:rsid w:val="E7FE75AD"/>
    <w:rsid w:val="EE7E6E94"/>
    <w:rsid w:val="F8FF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qFormat="1" w:uiPriority="99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3"/>
    <w:basedOn w:val="1"/>
    <w:unhideWhenUsed/>
    <w:qFormat/>
    <w:uiPriority w:val="99"/>
    <w:pPr>
      <w:ind w:left="100" w:leftChars="400" w:hanging="200" w:hangingChars="200"/>
      <w:contextualSpacing/>
    </w:pPr>
    <w:rPr>
      <w:sz w:val="24"/>
    </w:rPr>
  </w:style>
  <w:style w:type="paragraph" w:styleId="4">
    <w:name w:val="annotation text"/>
    <w:basedOn w:val="1"/>
    <w:link w:val="20"/>
    <w:unhideWhenUsed/>
    <w:qFormat/>
    <w:uiPriority w:val="99"/>
    <w:pPr>
      <w:jc w:val="left"/>
    </w:pPr>
  </w:style>
  <w:style w:type="paragraph" w:styleId="5">
    <w:name w:val="Balloon Text"/>
    <w:basedOn w:val="1"/>
    <w:link w:val="18"/>
    <w:unhideWhenUsed/>
    <w:qFormat/>
    <w:uiPriority w:val="99"/>
    <w:rPr>
      <w:rFonts w:ascii="宋体" w:eastAsia="宋体"/>
      <w:sz w:val="18"/>
      <w:szCs w:val="18"/>
    </w:rPr>
  </w:style>
  <w:style w:type="paragraph" w:styleId="6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9">
    <w:name w:val="annotation subject"/>
    <w:basedOn w:val="4"/>
    <w:next w:val="4"/>
    <w:link w:val="23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FollowedHyperlink"/>
    <w:basedOn w:val="1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annotation reference"/>
    <w:basedOn w:val="12"/>
    <w:unhideWhenUsed/>
    <w:qFormat/>
    <w:uiPriority w:val="99"/>
    <w:rPr>
      <w:sz w:val="21"/>
      <w:szCs w:val="21"/>
    </w:rPr>
  </w:style>
  <w:style w:type="paragraph" w:customStyle="1" w:styleId="17">
    <w:name w:val="列表段落1"/>
    <w:basedOn w:val="1"/>
    <w:qFormat/>
    <w:uiPriority w:val="34"/>
    <w:pPr>
      <w:ind w:firstLine="420" w:firstLineChars="200"/>
    </w:pPr>
  </w:style>
  <w:style w:type="character" w:customStyle="1" w:styleId="18">
    <w:name w:val="批注框文本 字符"/>
    <w:basedOn w:val="12"/>
    <w:link w:val="5"/>
    <w:semiHidden/>
    <w:qFormat/>
    <w:uiPriority w:val="99"/>
    <w:rPr>
      <w:rFonts w:ascii="宋体" w:eastAsia="宋体"/>
      <w:sz w:val="18"/>
      <w:szCs w:val="18"/>
    </w:rPr>
  </w:style>
  <w:style w:type="paragraph" w:customStyle="1" w:styleId="19">
    <w:name w:val="列表段落2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0">
    <w:name w:val="批注文字 字符"/>
    <w:basedOn w:val="12"/>
    <w:link w:val="4"/>
    <w:qFormat/>
    <w:uiPriority w:val="99"/>
  </w:style>
  <w:style w:type="table" w:customStyle="1" w:styleId="21">
    <w:name w:val="网格型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批注主题 字符"/>
    <w:basedOn w:val="20"/>
    <w:link w:val="9"/>
    <w:semiHidden/>
    <w:qFormat/>
    <w:uiPriority w:val="99"/>
    <w:rPr>
      <w:b/>
      <w:bCs/>
      <w:kern w:val="2"/>
      <w:sz w:val="21"/>
      <w:szCs w:val="24"/>
    </w:rPr>
  </w:style>
  <w:style w:type="character" w:customStyle="1" w:styleId="24">
    <w:name w:val="页眉 字符"/>
    <w:basedOn w:val="12"/>
    <w:link w:val="7"/>
    <w:qFormat/>
    <w:uiPriority w:val="99"/>
    <w:rPr>
      <w:kern w:val="2"/>
      <w:sz w:val="18"/>
      <w:szCs w:val="18"/>
    </w:rPr>
  </w:style>
  <w:style w:type="character" w:customStyle="1" w:styleId="25">
    <w:name w:val="页脚 字符"/>
    <w:basedOn w:val="12"/>
    <w:link w:val="6"/>
    <w:qFormat/>
    <w:uiPriority w:val="99"/>
    <w:rPr>
      <w:kern w:val="2"/>
      <w:sz w:val="18"/>
      <w:szCs w:val="18"/>
    </w:rPr>
  </w:style>
  <w:style w:type="character" w:customStyle="1" w:styleId="26">
    <w:name w:val="未处理的提及1"/>
    <w:basedOn w:val="12"/>
    <w:qFormat/>
    <w:uiPriority w:val="99"/>
    <w:rPr>
      <w:color w:val="605E5C"/>
      <w:shd w:val="clear" w:color="auto" w:fill="E1DFDD"/>
    </w:rPr>
  </w:style>
  <w:style w:type="character" w:customStyle="1" w:styleId="27">
    <w:name w:val="未处理的提及2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未处理的提及3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E5651-D581-4F0B-AD05-D9FB9DE51D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3</Pages>
  <Words>1015</Words>
  <Characters>6656</Characters>
  <Lines>105</Lines>
  <Paragraphs>78</Paragraphs>
  <TotalTime>48</TotalTime>
  <ScaleCrop>false</ScaleCrop>
  <LinksUpToDate>false</LinksUpToDate>
  <CharactersWithSpaces>7639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2024-10-04T02:30:00Z</dcterms:created>
  <dc:creator>刘 英杰</dc:creator>
  <cp:lastModifiedBy> 高高</cp:lastModifiedBy>
  <cp:lastPrinted>2026-03-14T13:51:00Z</cp:lastPrinted>
  <dcterms:modified xsi:type="dcterms:W3CDTF">2026-07-01T13:33:03Z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eyJoZGlkIjoiNmNhMWRkMjAyNzNjZjhiODA1MWNmZmYyNjM2NTZiODAiLCJ1c2VySWQiOiI5NjEzNjczMzYifQ==</vt:lpwstr>
  </property>
  <property fmtid="{D5CDD505-2E9C-101B-9397-08002B2CF9AE}" pid="4" name="ICV">
    <vt:lpwstr>8603EC8FAAE445F08A464ECCA5E5144B_13</vt:lpwstr>
  </property>
</Properties>
</file>